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232" w:rsidRPr="009C4B80" w:rsidRDefault="006E3B3B" w:rsidP="00AD3ACE">
      <w:pPr>
        <w:pStyle w:val="Heading1"/>
        <w:rPr>
          <w:b w:val="0"/>
          <w:sz w:val="32"/>
          <w:szCs w:val="32"/>
          <w:lang w:val="hu-HU"/>
        </w:rPr>
      </w:pPr>
      <w:r w:rsidRPr="009C4B80">
        <w:rPr>
          <w:b w:val="0"/>
          <w:sz w:val="32"/>
          <w:szCs w:val="32"/>
          <w:lang w:val="hu-HU"/>
        </w:rPr>
        <w:t>i</w:t>
      </w:r>
      <w:r w:rsidR="00093AB7" w:rsidRPr="009C4B80">
        <w:rPr>
          <w:b w:val="0"/>
          <w:sz w:val="32"/>
          <w:szCs w:val="32"/>
          <w:lang w:val="hu-HU"/>
        </w:rPr>
        <w:t xml:space="preserve">RATKOZÁSI FELTÉTELEK </w:t>
      </w:r>
      <w:r w:rsidR="003948EC" w:rsidRPr="009C4B80">
        <w:rPr>
          <w:b w:val="0"/>
          <w:lang w:val="hu-HU"/>
        </w:rPr>
        <w:fldChar w:fldCharType="begin"/>
      </w:r>
      <w:r w:rsidR="00BD0DBB" w:rsidRPr="009C4B80">
        <w:rPr>
          <w:b w:val="0"/>
          <w:lang w:val="hu-HU"/>
        </w:rPr>
        <w:instrText xml:space="preserve"> FILLIN  "Naslov - Cím (obavezno popuniti - kitöltése kötelező)"  \* MERGEFORMAT </w:instrText>
      </w:r>
      <w:r w:rsidR="003948EC" w:rsidRPr="009C4B80">
        <w:rPr>
          <w:b w:val="0"/>
          <w:lang w:val="hu-HU"/>
        </w:rPr>
        <w:fldChar w:fldCharType="end"/>
      </w:r>
    </w:p>
    <w:p w:rsidR="00BB417B" w:rsidRPr="009C4B80" w:rsidRDefault="00830B07" w:rsidP="00AD3ACE">
      <w:pPr>
        <w:pStyle w:val="Heading2"/>
        <w:rPr>
          <w:lang w:val="hu-HU"/>
        </w:rPr>
      </w:pPr>
      <w:r w:rsidRPr="009C4B80">
        <w:rPr>
          <w:lang w:val="hu-HU"/>
        </w:rPr>
        <w:t>A</w:t>
      </w:r>
      <w:r w:rsidR="00B31E19">
        <w:rPr>
          <w:lang w:val="hu-HU"/>
        </w:rPr>
        <w:t>z előző</w:t>
      </w:r>
      <w:r w:rsidRPr="009C4B80">
        <w:rPr>
          <w:lang w:val="hu-HU"/>
        </w:rPr>
        <w:t xml:space="preserve"> TANÉVBEN 0 ÉS 36 ECTS KÖZÖTTI pontszámot elért elsőéves hallgatók</w:t>
      </w:r>
    </w:p>
    <w:p w:rsidR="004B05C2" w:rsidRPr="009C4B80" w:rsidRDefault="004B05C2" w:rsidP="00AD3ACE">
      <w:pPr>
        <w:rPr>
          <w:lang w:val="hu-HU"/>
        </w:rPr>
      </w:pPr>
      <w:r w:rsidRPr="009C4B80">
        <w:rPr>
          <w:lang w:val="hu-HU"/>
        </w:rPr>
        <w:t xml:space="preserve">Azoknak az elsőéves hallgatóknak, akik 0 és 36 ECTS közötti </w:t>
      </w:r>
      <w:r w:rsidR="00962B30" w:rsidRPr="009C4B80">
        <w:rPr>
          <w:lang w:val="hu-HU"/>
        </w:rPr>
        <w:t>pontszámmal</w:t>
      </w:r>
      <w:r w:rsidRPr="009C4B80">
        <w:rPr>
          <w:lang w:val="hu-HU"/>
        </w:rPr>
        <w:t xml:space="preserve"> fejezték az évet, ismét be kell írniuk az elsőéves tantárgyakat</w:t>
      </w:r>
      <w:r w:rsidR="00830B07" w:rsidRPr="009C4B80">
        <w:rPr>
          <w:lang w:val="hu-HU"/>
        </w:rPr>
        <w:t>,</w:t>
      </w:r>
      <w:r w:rsidRPr="009C4B80">
        <w:rPr>
          <w:lang w:val="hu-HU"/>
        </w:rPr>
        <w:t xml:space="preserve"> melyeknek záróvizsgáját nem tették le (nem </w:t>
      </w:r>
      <w:r w:rsidR="006E3B3B" w:rsidRPr="009C4B80">
        <w:rPr>
          <w:lang w:val="hu-HU"/>
        </w:rPr>
        <w:t>i</w:t>
      </w:r>
      <w:r w:rsidRPr="009C4B80">
        <w:rPr>
          <w:lang w:val="hu-HU"/>
        </w:rPr>
        <w:t>ratkozhatnak be a II. évbe). Az újra</w:t>
      </w:r>
      <w:r w:rsidR="006E3B3B" w:rsidRPr="009C4B80">
        <w:rPr>
          <w:lang w:val="hu-HU"/>
        </w:rPr>
        <w:t>i</w:t>
      </w:r>
      <w:r w:rsidRPr="009C4B80">
        <w:rPr>
          <w:lang w:val="hu-HU"/>
        </w:rPr>
        <w:t xml:space="preserve">ratkozás során </w:t>
      </w:r>
      <w:proofErr w:type="gramStart"/>
      <w:r w:rsidRPr="009C4B80">
        <w:rPr>
          <w:lang w:val="hu-HU"/>
        </w:rPr>
        <w:t>maradnak</w:t>
      </w:r>
      <w:proofErr w:type="gramEnd"/>
      <w:r w:rsidRPr="009C4B80">
        <w:rPr>
          <w:lang w:val="hu-HU"/>
        </w:rPr>
        <w:t xml:space="preserve"> ill. átker</w:t>
      </w:r>
      <w:r w:rsidR="009C4B80">
        <w:rPr>
          <w:lang w:val="hu-HU"/>
        </w:rPr>
        <w:t>ülnek önköltségi beosztásba</w:t>
      </w:r>
      <w:r w:rsidRPr="009C4B80">
        <w:rPr>
          <w:lang w:val="hu-HU"/>
        </w:rPr>
        <w:t>.</w:t>
      </w:r>
    </w:p>
    <w:p w:rsidR="004B05C2" w:rsidRPr="009C4B80" w:rsidRDefault="004B05C2" w:rsidP="00AD3ACE">
      <w:pPr>
        <w:rPr>
          <w:lang w:val="hu-HU"/>
        </w:rPr>
      </w:pPr>
      <w:r w:rsidRPr="009C4B80">
        <w:rPr>
          <w:lang w:val="hu-HU"/>
        </w:rPr>
        <w:t>A kötelező tantárgyakat elengedhetetlen</w:t>
      </w:r>
      <w:r w:rsidR="006E3B3B" w:rsidRPr="009C4B80">
        <w:rPr>
          <w:lang w:val="hu-HU"/>
        </w:rPr>
        <w:t>ü</w:t>
      </w:r>
      <w:r w:rsidRPr="009C4B80">
        <w:rPr>
          <w:lang w:val="hu-HU"/>
        </w:rPr>
        <w:t>l be kell írni. A le nem tisztázott választ</w:t>
      </w:r>
      <w:r w:rsidR="001878CF" w:rsidRPr="009C4B80">
        <w:rPr>
          <w:lang w:val="hu-HU"/>
        </w:rPr>
        <w:t>ható</w:t>
      </w:r>
      <w:r w:rsidRPr="009C4B80">
        <w:rPr>
          <w:lang w:val="hu-HU"/>
        </w:rPr>
        <w:t xml:space="preserve"> tantárgyakat ismét be lehet jelenteni, illetve azok helyett újat választhat a hallgató (a választás feltétele a kötelező 60 ECTS </w:t>
      </w:r>
      <w:proofErr w:type="spellStart"/>
      <w:r w:rsidRPr="009C4B80">
        <w:rPr>
          <w:lang w:val="hu-HU"/>
        </w:rPr>
        <w:t>összpontszám</w:t>
      </w:r>
      <w:proofErr w:type="spellEnd"/>
      <w:r w:rsidRPr="009C4B80">
        <w:rPr>
          <w:lang w:val="hu-HU"/>
        </w:rPr>
        <w:t xml:space="preserve"> elérése az év végéig).</w:t>
      </w:r>
    </w:p>
    <w:p w:rsidR="004B05C2" w:rsidRPr="009C4B80" w:rsidRDefault="004B05C2" w:rsidP="00AD3ACE">
      <w:pPr>
        <w:rPr>
          <w:lang w:val="hu-HU"/>
        </w:rPr>
      </w:pPr>
      <w:r w:rsidRPr="009C4B80">
        <w:rPr>
          <w:lang w:val="hu-HU"/>
        </w:rPr>
        <w:t>A</w:t>
      </w:r>
      <w:r w:rsidR="00511666" w:rsidRPr="009C4B80">
        <w:rPr>
          <w:lang w:val="hu-HU"/>
        </w:rPr>
        <w:t>z ismét</w:t>
      </w:r>
      <w:r w:rsidRPr="009C4B80">
        <w:rPr>
          <w:lang w:val="hu-HU"/>
        </w:rPr>
        <w:t xml:space="preserve"> bejelentett tantárgyak </w:t>
      </w:r>
      <w:r w:rsidR="009907BC" w:rsidRPr="009C4B80">
        <w:rPr>
          <w:lang w:val="hu-HU"/>
        </w:rPr>
        <w:t xml:space="preserve">előadásait újra kell hallgatni. Amennyiben a tantervben két előadás fedi egymást, a hallgató kötelességét a tantárgyfelelős tanárral egyezteti. </w:t>
      </w:r>
    </w:p>
    <w:p w:rsidR="009907BC" w:rsidRPr="0000274D" w:rsidRDefault="009907BC" w:rsidP="00AD3ACE">
      <w:pPr>
        <w:rPr>
          <w:lang w:val="hu-HU"/>
        </w:rPr>
      </w:pPr>
      <w:r w:rsidRPr="0000274D">
        <w:rPr>
          <w:lang w:val="hu-HU"/>
        </w:rPr>
        <w:t xml:space="preserve">Az </w:t>
      </w:r>
      <w:r w:rsidR="006E3B3B" w:rsidRPr="0000274D">
        <w:rPr>
          <w:lang w:val="hu-HU"/>
        </w:rPr>
        <w:t>i</w:t>
      </w:r>
      <w:r w:rsidRPr="0000274D">
        <w:rPr>
          <w:lang w:val="hu-HU"/>
        </w:rPr>
        <w:t>ratkozás</w:t>
      </w:r>
      <w:r w:rsidR="0000274D">
        <w:rPr>
          <w:lang w:val="hu-HU"/>
        </w:rPr>
        <w:t xml:space="preserve"> valamint a tandíj</w:t>
      </w:r>
      <w:r w:rsidRPr="0000274D">
        <w:rPr>
          <w:lang w:val="hu-HU"/>
        </w:rPr>
        <w:t xml:space="preserve"> költségei</w:t>
      </w:r>
      <w:r w:rsidR="0000274D" w:rsidRPr="0000274D">
        <w:rPr>
          <w:lang w:val="hu-HU"/>
        </w:rPr>
        <w:t>t a k</w:t>
      </w:r>
      <w:r w:rsidR="0000274D">
        <w:rPr>
          <w:lang w:val="hu-HU"/>
        </w:rPr>
        <w:t>övetkező folyószámlaszámra szükséges</w:t>
      </w:r>
      <w:r w:rsidR="0000274D" w:rsidRPr="0000274D">
        <w:rPr>
          <w:lang w:val="hu-HU"/>
        </w:rPr>
        <w:t xml:space="preserve"> befizetni: </w:t>
      </w:r>
      <w:r w:rsidR="0000274D" w:rsidRPr="0000274D">
        <w:rPr>
          <w:bCs/>
          <w:lang w:val="hu-HU"/>
        </w:rPr>
        <w:t>840-526666-66</w:t>
      </w:r>
      <w:r w:rsidR="0000274D">
        <w:rPr>
          <w:bCs/>
          <w:lang w:val="hu-HU"/>
        </w:rPr>
        <w:t xml:space="preserve">, követve az </w:t>
      </w:r>
      <w:proofErr w:type="spellStart"/>
      <w:r w:rsidR="0000274D">
        <w:rPr>
          <w:bCs/>
          <w:lang w:val="hu-HU"/>
        </w:rPr>
        <w:t>EREF-en</w:t>
      </w:r>
      <w:proofErr w:type="spellEnd"/>
      <w:r w:rsidR="0000274D">
        <w:rPr>
          <w:bCs/>
          <w:lang w:val="hu-HU"/>
        </w:rPr>
        <w:t xml:space="preserve"> található utasítást a </w:t>
      </w:r>
      <w:r w:rsidR="0000274D">
        <w:rPr>
          <w:lang w:val="sr-Latn-CS"/>
        </w:rPr>
        <w:t xml:space="preserve">„Troškovi upisnine i školarine“ </w:t>
      </w:r>
      <w:proofErr w:type="spellStart"/>
      <w:r w:rsidR="0000274D">
        <w:rPr>
          <w:lang w:val="sr-Latn-CS"/>
        </w:rPr>
        <w:t>alatt</w:t>
      </w:r>
      <w:proofErr w:type="spellEnd"/>
      <w:r w:rsidR="0000274D">
        <w:rPr>
          <w:lang w:val="sr-Latn-CS"/>
        </w:rPr>
        <w:t>.</w:t>
      </w:r>
    </w:p>
    <w:p w:rsidR="00BB417B" w:rsidRPr="00B31E19" w:rsidRDefault="009907BC" w:rsidP="00B31E19">
      <w:pPr>
        <w:numPr>
          <w:ilvl w:val="0"/>
          <w:numId w:val="2"/>
        </w:numPr>
        <w:spacing w:before="0" w:after="0" w:line="240" w:lineRule="auto"/>
        <w:rPr>
          <w:lang w:val="hu-HU"/>
        </w:rPr>
      </w:pPr>
      <w:r w:rsidRPr="009C4B80">
        <w:rPr>
          <w:lang w:val="hu-HU"/>
        </w:rPr>
        <w:t xml:space="preserve">Az </w:t>
      </w:r>
      <w:r w:rsidR="006E3B3B" w:rsidRPr="009C4B80">
        <w:rPr>
          <w:lang w:val="hu-HU"/>
        </w:rPr>
        <w:t>i</w:t>
      </w:r>
      <w:r w:rsidR="00B31E19">
        <w:rPr>
          <w:lang w:val="hu-HU"/>
        </w:rPr>
        <w:t>ratkozás</w:t>
      </w:r>
      <w:r w:rsidRPr="009C4B80">
        <w:rPr>
          <w:lang w:val="hu-HU"/>
        </w:rPr>
        <w:t xml:space="preserve"> költsége </w:t>
      </w:r>
      <w:r w:rsidR="005420F9">
        <w:rPr>
          <w:lang w:val="hu-HU"/>
        </w:rPr>
        <w:t>8</w:t>
      </w:r>
      <w:r w:rsidR="00E3681C">
        <w:rPr>
          <w:lang w:val="hu-HU"/>
        </w:rPr>
        <w:t>.5</w:t>
      </w:r>
      <w:r w:rsidR="00BB417B" w:rsidRPr="009C4B80">
        <w:rPr>
          <w:lang w:val="hu-HU"/>
        </w:rPr>
        <w:t>00.00 din</w:t>
      </w:r>
      <w:r w:rsidRPr="009C4B80">
        <w:rPr>
          <w:lang w:val="hu-HU"/>
        </w:rPr>
        <w:t>ár</w:t>
      </w:r>
      <w:r w:rsidR="00B31E19">
        <w:rPr>
          <w:lang w:val="hu-HU"/>
        </w:rPr>
        <w:t>,</w:t>
      </w:r>
    </w:p>
    <w:p w:rsidR="009907BC" w:rsidRPr="009C4B80" w:rsidRDefault="009907BC" w:rsidP="00AD3ACE">
      <w:pPr>
        <w:numPr>
          <w:ilvl w:val="0"/>
          <w:numId w:val="2"/>
        </w:numPr>
        <w:spacing w:before="0" w:after="0" w:line="240" w:lineRule="auto"/>
        <w:rPr>
          <w:lang w:val="hu-HU"/>
        </w:rPr>
      </w:pPr>
      <w:r w:rsidRPr="009C4B80">
        <w:rPr>
          <w:lang w:val="hu-HU"/>
        </w:rPr>
        <w:t>A tandíj</w:t>
      </w:r>
      <w:r w:rsidR="00AD3ACE" w:rsidRPr="009C4B80">
        <w:rPr>
          <w:lang w:val="hu-HU"/>
        </w:rPr>
        <w:br/>
      </w:r>
      <w:r w:rsidRPr="009C4B80">
        <w:rPr>
          <w:lang w:val="hu-HU"/>
        </w:rPr>
        <w:t>A hall</w:t>
      </w:r>
      <w:r w:rsidR="006E3B3B" w:rsidRPr="009C4B80">
        <w:rPr>
          <w:lang w:val="hu-HU"/>
        </w:rPr>
        <w:t>ga</w:t>
      </w:r>
      <w:r w:rsidRPr="009C4B80">
        <w:rPr>
          <w:lang w:val="hu-HU"/>
        </w:rPr>
        <w:t xml:space="preserve">tó annyi ECTS pontszámnak megfelelő összeget fizet be, amennyit újra bejelentett </w:t>
      </w:r>
    </w:p>
    <w:p w:rsidR="00A74602" w:rsidRPr="009C4B80" w:rsidRDefault="0000274D" w:rsidP="009907BC">
      <w:pPr>
        <w:spacing w:before="0" w:after="0" w:line="240" w:lineRule="auto"/>
        <w:ind w:left="720"/>
        <w:rPr>
          <w:lang w:val="hu-HU"/>
        </w:rPr>
      </w:pPr>
      <w:r>
        <w:rPr>
          <w:lang w:val="hu-HU"/>
        </w:rPr>
        <w:t>1 ECTS = 833</w:t>
      </w:r>
      <w:r w:rsidR="008506C9" w:rsidRPr="009C4B80">
        <w:rPr>
          <w:lang w:val="hu-HU"/>
        </w:rPr>
        <w:t>,00 RSD (ha egy részletben fizetik az összeget)</w:t>
      </w:r>
    </w:p>
    <w:p w:rsidR="008506C9" w:rsidRPr="009C4B80" w:rsidRDefault="008506C9" w:rsidP="009907BC">
      <w:pPr>
        <w:spacing w:before="0" w:after="0" w:line="240" w:lineRule="auto"/>
        <w:ind w:left="720"/>
        <w:rPr>
          <w:lang w:val="hu-HU"/>
        </w:rPr>
      </w:pPr>
      <w:r w:rsidRPr="009C4B80">
        <w:rPr>
          <w:lang w:val="hu-HU"/>
        </w:rPr>
        <w:t>1 ECTS = 900,00 RSD (ha két részletben fizetik az összeget)</w:t>
      </w:r>
    </w:p>
    <w:p w:rsidR="009907BC" w:rsidRPr="009C4B80" w:rsidRDefault="009907BC" w:rsidP="00AD3ACE">
      <w:pPr>
        <w:numPr>
          <w:ilvl w:val="1"/>
          <w:numId w:val="2"/>
        </w:numPr>
        <w:spacing w:before="0" w:after="0" w:line="240" w:lineRule="auto"/>
        <w:rPr>
          <w:lang w:val="hu-HU"/>
        </w:rPr>
      </w:pPr>
      <w:r w:rsidRPr="009C4B80">
        <w:rPr>
          <w:lang w:val="hu-HU"/>
        </w:rPr>
        <w:t>PÉLDA</w:t>
      </w:r>
      <w:r w:rsidR="008506C9" w:rsidRPr="009C4B80">
        <w:rPr>
          <w:lang w:val="hu-HU"/>
        </w:rPr>
        <w:t xml:space="preserve"> egy részletes fizetés esetén: Amennyi</w:t>
      </w:r>
      <w:r w:rsidRPr="009C4B80">
        <w:rPr>
          <w:lang w:val="hu-HU"/>
        </w:rPr>
        <w:t xml:space="preserve">ben a hallgató az első évben 27 ECTS pontszámot ért el a kötelező 60 pontszámból, akkor a maradék 33 ECTS összegét fizeti </w:t>
      </w:r>
      <w:r w:rsidR="0076761C">
        <w:rPr>
          <w:lang w:val="hu-HU"/>
        </w:rPr>
        <w:t>(60 – 27 = 33 ECTS), azaz 27.489</w:t>
      </w:r>
      <w:r w:rsidRPr="009C4B80">
        <w:rPr>
          <w:lang w:val="hu-HU"/>
        </w:rPr>
        <w:t>,00 dinárt (33 ECTS x 83</w:t>
      </w:r>
      <w:r w:rsidR="0000274D">
        <w:rPr>
          <w:lang w:val="hu-HU"/>
        </w:rPr>
        <w:t>3,00 RSD = 27.489</w:t>
      </w:r>
      <w:r w:rsidRPr="009C4B80">
        <w:rPr>
          <w:lang w:val="hu-HU"/>
        </w:rPr>
        <w:t xml:space="preserve">,00 RSD). Az összeget egészében kell befizetni az </w:t>
      </w:r>
      <w:r w:rsidR="006E3B3B" w:rsidRPr="009C4B80">
        <w:rPr>
          <w:lang w:val="hu-HU"/>
        </w:rPr>
        <w:t>i</w:t>
      </w:r>
      <w:r w:rsidRPr="009C4B80">
        <w:rPr>
          <w:lang w:val="hu-HU"/>
        </w:rPr>
        <w:t>ratkozás során.</w:t>
      </w:r>
    </w:p>
    <w:p w:rsidR="008506C9" w:rsidRPr="009C4B80" w:rsidRDefault="009907BC" w:rsidP="008506C9">
      <w:pPr>
        <w:numPr>
          <w:ilvl w:val="1"/>
          <w:numId w:val="2"/>
        </w:numPr>
        <w:spacing w:before="0" w:after="0" w:line="240" w:lineRule="auto"/>
        <w:rPr>
          <w:lang w:val="hu-HU"/>
        </w:rPr>
      </w:pPr>
      <w:r w:rsidRPr="009C4B80">
        <w:rPr>
          <w:lang w:val="hu-HU"/>
        </w:rPr>
        <w:t>PÉLDA</w:t>
      </w:r>
      <w:r w:rsidR="008506C9" w:rsidRPr="009C4B80">
        <w:rPr>
          <w:lang w:val="hu-HU"/>
        </w:rPr>
        <w:t xml:space="preserve"> két részletes fizetés esetén</w:t>
      </w:r>
      <w:r w:rsidRPr="009C4B80">
        <w:rPr>
          <w:lang w:val="hu-HU"/>
        </w:rPr>
        <w:t xml:space="preserve">: </w:t>
      </w:r>
      <w:r w:rsidR="008506C9" w:rsidRPr="009C4B80">
        <w:rPr>
          <w:lang w:val="hu-HU"/>
        </w:rPr>
        <w:t>Amennyiben a hallgató az első évben 27 ECTS pontszámot ért el a kötelező 60 pontszámból, akkor a maradék 33 ECTS összegét fizeti (60 – 27 = 33 ECTS), azaz 29.700,00 dinárt (33 ECTS x 9</w:t>
      </w:r>
      <w:r w:rsidR="00EE0328">
        <w:rPr>
          <w:lang w:val="hu-HU"/>
        </w:rPr>
        <w:t>66</w:t>
      </w:r>
      <w:r w:rsidR="008506C9" w:rsidRPr="009C4B80">
        <w:rPr>
          <w:lang w:val="hu-HU"/>
        </w:rPr>
        <w:t xml:space="preserve">,00 RSD = </w:t>
      </w:r>
      <w:r w:rsidR="00EE0328">
        <w:rPr>
          <w:lang w:val="hu-HU"/>
        </w:rPr>
        <w:t>31.878</w:t>
      </w:r>
      <w:r w:rsidR="006E3B3B" w:rsidRPr="009C4B80">
        <w:rPr>
          <w:lang w:val="hu-HU"/>
        </w:rPr>
        <w:t>,00 RSD). Az összeg felét az i</w:t>
      </w:r>
      <w:r w:rsidR="008506C9" w:rsidRPr="009C4B80">
        <w:rPr>
          <w:lang w:val="hu-HU"/>
        </w:rPr>
        <w:t>ratkozás során be kell fizetni. A hátramarad</w:t>
      </w:r>
      <w:r w:rsidR="007A479B" w:rsidRPr="009C4B80">
        <w:rPr>
          <w:lang w:val="hu-HU"/>
        </w:rPr>
        <w:t>t</w:t>
      </w:r>
      <w:r w:rsidR="008506C9" w:rsidRPr="009C4B80">
        <w:rPr>
          <w:lang w:val="hu-HU"/>
        </w:rPr>
        <w:t xml:space="preserve"> összeget </w:t>
      </w:r>
      <w:r w:rsidR="0076761C">
        <w:rPr>
          <w:lang w:val="hu-HU"/>
        </w:rPr>
        <w:t>a téli szemeszter bejegyzéskor</w:t>
      </w:r>
      <w:r w:rsidR="008506C9" w:rsidRPr="009C4B80">
        <w:rPr>
          <w:lang w:val="hu-HU"/>
        </w:rPr>
        <w:t xml:space="preserve"> kell kifizetni.</w:t>
      </w:r>
    </w:p>
    <w:p w:rsidR="00AD3ACE" w:rsidRPr="009C4B80" w:rsidRDefault="00AD3ACE" w:rsidP="0000274D">
      <w:pPr>
        <w:spacing w:before="0" w:after="0" w:line="240" w:lineRule="auto"/>
        <w:rPr>
          <w:b/>
          <w:bCs/>
          <w:lang w:val="hu-HU"/>
        </w:rPr>
      </w:pPr>
    </w:p>
    <w:p w:rsidR="00E5259B" w:rsidRPr="009C4B80" w:rsidRDefault="00E5259B" w:rsidP="00AD3ACE">
      <w:pPr>
        <w:spacing w:before="0" w:after="0" w:line="240" w:lineRule="auto"/>
        <w:ind w:firstLine="720"/>
        <w:rPr>
          <w:b/>
          <w:bCs/>
          <w:lang w:val="hu-HU"/>
        </w:rPr>
      </w:pPr>
    </w:p>
    <w:p w:rsidR="00E5259B" w:rsidRPr="009C4B80" w:rsidRDefault="00B31E19" w:rsidP="00AD3ACE">
      <w:pPr>
        <w:spacing w:before="0" w:after="0" w:line="240" w:lineRule="auto"/>
        <w:ind w:firstLine="720"/>
        <w:rPr>
          <w:b/>
          <w:bCs/>
          <w:lang w:val="hu-HU"/>
        </w:rPr>
      </w:pPr>
      <w:r>
        <w:rPr>
          <w:b/>
          <w:bCs/>
          <w:lang w:val="hu-HU"/>
        </w:rPr>
        <w:br w:type="page"/>
      </w:r>
    </w:p>
    <w:p w:rsidR="00E5259B" w:rsidRPr="009C4B80" w:rsidRDefault="00E5259B" w:rsidP="001878CF">
      <w:pPr>
        <w:spacing w:before="0" w:after="0" w:line="240" w:lineRule="auto"/>
        <w:rPr>
          <w:lang w:val="hu-HU"/>
        </w:rPr>
      </w:pPr>
    </w:p>
    <w:p w:rsidR="00093AB7" w:rsidRPr="009C4B80" w:rsidRDefault="0000274D" w:rsidP="00093AB7">
      <w:pPr>
        <w:pStyle w:val="Heading2"/>
        <w:rPr>
          <w:lang w:val="hu-HU"/>
        </w:rPr>
      </w:pPr>
      <w:r>
        <w:rPr>
          <w:lang w:val="hu-HU"/>
        </w:rPr>
        <w:t>Az előző</w:t>
      </w:r>
      <w:r w:rsidR="005420F9">
        <w:rPr>
          <w:lang w:val="hu-HU"/>
        </w:rPr>
        <w:t xml:space="preserve"> TANÉVBEN 37 ÉS 4</w:t>
      </w:r>
      <w:r w:rsidR="00AA50C0">
        <w:rPr>
          <w:lang w:val="hu-HU"/>
        </w:rPr>
        <w:t>7</w:t>
      </w:r>
      <w:r w:rsidR="00830B07" w:rsidRPr="009C4B80">
        <w:rPr>
          <w:lang w:val="hu-HU"/>
        </w:rPr>
        <w:t xml:space="preserve"> ECTS KÖZÖTTI pontszámot elért elsőéves hallgatók</w:t>
      </w:r>
    </w:p>
    <w:p w:rsidR="00093AB7" w:rsidRPr="009C4B80" w:rsidRDefault="00093AB7" w:rsidP="00AD3ACE">
      <w:pPr>
        <w:rPr>
          <w:lang w:val="hu-HU"/>
        </w:rPr>
      </w:pPr>
      <w:r w:rsidRPr="009C4B80">
        <w:rPr>
          <w:lang w:val="hu-HU"/>
        </w:rPr>
        <w:t>Azok az elsőéves hallgatók, akik 37 és 4</w:t>
      </w:r>
      <w:r w:rsidR="00AA50C0">
        <w:rPr>
          <w:lang w:val="hu-HU"/>
        </w:rPr>
        <w:t>7</w:t>
      </w:r>
      <w:r w:rsidRPr="009C4B80">
        <w:rPr>
          <w:lang w:val="hu-HU"/>
        </w:rPr>
        <w:t xml:space="preserve"> ECTS közötti </w:t>
      </w:r>
      <w:r w:rsidR="00962B30" w:rsidRPr="009C4B80">
        <w:rPr>
          <w:lang w:val="hu-HU"/>
        </w:rPr>
        <w:t>pontszámmal</w:t>
      </w:r>
      <w:r w:rsidRPr="009C4B80">
        <w:rPr>
          <w:lang w:val="hu-HU"/>
        </w:rPr>
        <w:t xml:space="preserve"> fejezték az évet, </w:t>
      </w:r>
      <w:proofErr w:type="gramStart"/>
      <w:r w:rsidRPr="009C4B80">
        <w:rPr>
          <w:lang w:val="hu-HU"/>
        </w:rPr>
        <w:t>maradnak</w:t>
      </w:r>
      <w:proofErr w:type="gramEnd"/>
      <w:r w:rsidR="0076761C">
        <w:rPr>
          <w:lang w:val="hu-HU"/>
        </w:rPr>
        <w:t xml:space="preserve"> ill. átkerülnek önköltséges</w:t>
      </w:r>
      <w:r w:rsidRPr="009C4B80">
        <w:rPr>
          <w:lang w:val="hu-HU"/>
        </w:rPr>
        <w:t xml:space="preserve"> </w:t>
      </w:r>
      <w:r w:rsidR="0076761C">
        <w:rPr>
          <w:lang w:val="hu-HU"/>
        </w:rPr>
        <w:t>státuszba</w:t>
      </w:r>
      <w:r w:rsidR="006E3B3B" w:rsidRPr="009C4B80">
        <w:rPr>
          <w:lang w:val="hu-HU"/>
        </w:rPr>
        <w:t xml:space="preserve">. A hallgatóknak ismét be kell </w:t>
      </w:r>
      <w:proofErr w:type="spellStart"/>
      <w:r w:rsidR="006E3B3B" w:rsidRPr="009C4B80">
        <w:rPr>
          <w:lang w:val="hu-HU"/>
        </w:rPr>
        <w:t>i</w:t>
      </w:r>
      <w:r w:rsidRPr="009C4B80">
        <w:rPr>
          <w:lang w:val="hu-HU"/>
        </w:rPr>
        <w:t>rniuk</w:t>
      </w:r>
      <w:proofErr w:type="spellEnd"/>
      <w:r w:rsidRPr="009C4B80">
        <w:rPr>
          <w:lang w:val="hu-HU"/>
        </w:rPr>
        <w:t xml:space="preserve"> azokat az elsőéves tantárgyakat melyeknek záróvizsgáját nem tették le, illetve annyi tantár</w:t>
      </w:r>
      <w:r w:rsidR="006E3B3B" w:rsidRPr="009C4B80">
        <w:rPr>
          <w:lang w:val="hu-HU"/>
        </w:rPr>
        <w:t>gyat a második évről, hogy a beí</w:t>
      </w:r>
      <w:r w:rsidRPr="009C4B80">
        <w:rPr>
          <w:lang w:val="hu-HU"/>
        </w:rPr>
        <w:t xml:space="preserve">rt tantárgyak </w:t>
      </w:r>
      <w:proofErr w:type="spellStart"/>
      <w:r w:rsidRPr="009C4B80">
        <w:rPr>
          <w:lang w:val="hu-HU"/>
        </w:rPr>
        <w:t>összpontszáma</w:t>
      </w:r>
      <w:proofErr w:type="spellEnd"/>
      <w:r w:rsidRPr="009C4B80">
        <w:rPr>
          <w:lang w:val="hu-HU"/>
        </w:rPr>
        <w:t xml:space="preserve"> legalább 60 ECTS legyen. </w:t>
      </w:r>
    </w:p>
    <w:p w:rsidR="00093AB7" w:rsidRPr="009C4B80" w:rsidRDefault="00093AB7" w:rsidP="00AD3ACE">
      <w:pPr>
        <w:rPr>
          <w:lang w:val="hu-HU"/>
        </w:rPr>
      </w:pPr>
      <w:r w:rsidRPr="009C4B80">
        <w:rPr>
          <w:lang w:val="hu-HU"/>
        </w:rPr>
        <w:t xml:space="preserve">PÉLDA: Amennyiben a hallgató az év folyamán 39 ECTS pontszámot ért el, akkor az első évről 21 ECTS pontszám értékben </w:t>
      </w:r>
      <w:r w:rsidR="008530F3" w:rsidRPr="009C4B80">
        <w:rPr>
          <w:lang w:val="hu-HU"/>
        </w:rPr>
        <w:t>jelent be</w:t>
      </w:r>
      <w:r w:rsidRPr="009C4B80">
        <w:rPr>
          <w:lang w:val="hu-HU"/>
        </w:rPr>
        <w:t xml:space="preserve"> </w:t>
      </w:r>
      <w:proofErr w:type="spellStart"/>
      <w:r w:rsidRPr="009C4B80">
        <w:rPr>
          <w:lang w:val="hu-HU"/>
        </w:rPr>
        <w:t>tantágyat</w:t>
      </w:r>
      <w:proofErr w:type="spellEnd"/>
      <w:r w:rsidRPr="009C4B80">
        <w:rPr>
          <w:lang w:val="hu-HU"/>
        </w:rPr>
        <w:t xml:space="preserve"> (60 – 39 = 21 ECTS), míg a második évről 39 ECTS pontszám értékben (21 + 39 = 60 ECTS).</w:t>
      </w:r>
    </w:p>
    <w:p w:rsidR="00093AB7" w:rsidRPr="009C4B80" w:rsidRDefault="00093AB7" w:rsidP="00AD3ACE">
      <w:pPr>
        <w:rPr>
          <w:lang w:val="hu-HU"/>
        </w:rPr>
      </w:pPr>
      <w:r w:rsidRPr="009C4B80">
        <w:rPr>
          <w:lang w:val="hu-HU"/>
        </w:rPr>
        <w:t>Az elsőéves kötelező tantárgyakat, melyeknek záróvizsgáját a hallgató nem tette le, elengedhetetlen</w:t>
      </w:r>
      <w:r w:rsidR="006E3B3B" w:rsidRPr="009C4B80">
        <w:rPr>
          <w:lang w:val="hu-HU"/>
        </w:rPr>
        <w:t>ü</w:t>
      </w:r>
      <w:r w:rsidRPr="009C4B80">
        <w:rPr>
          <w:lang w:val="hu-HU"/>
        </w:rPr>
        <w:t xml:space="preserve">l be kell </w:t>
      </w:r>
      <w:r w:rsidR="00232F4B" w:rsidRPr="009C4B80">
        <w:rPr>
          <w:lang w:val="hu-HU"/>
        </w:rPr>
        <w:t>írni</w:t>
      </w:r>
      <w:r w:rsidRPr="009C4B80">
        <w:rPr>
          <w:lang w:val="hu-HU"/>
        </w:rPr>
        <w:t>.</w:t>
      </w:r>
      <w:r w:rsidR="00232F4B" w:rsidRPr="009C4B80">
        <w:rPr>
          <w:lang w:val="hu-HU"/>
        </w:rPr>
        <w:t xml:space="preserve"> A le nem tisztázott választ</w:t>
      </w:r>
      <w:r w:rsidR="001878CF" w:rsidRPr="009C4B80">
        <w:rPr>
          <w:lang w:val="hu-HU"/>
        </w:rPr>
        <w:t>ható</w:t>
      </w:r>
      <w:r w:rsidR="00232F4B" w:rsidRPr="009C4B80">
        <w:rPr>
          <w:lang w:val="hu-HU"/>
        </w:rPr>
        <w:t xml:space="preserve"> tantárgyakat ismét be lehet jelenteni, illetve azok helyett újat választhat a hallgató (a választás feltétele a kötelező 60 ECTS </w:t>
      </w:r>
      <w:proofErr w:type="spellStart"/>
      <w:r w:rsidR="00232F4B" w:rsidRPr="009C4B80">
        <w:rPr>
          <w:lang w:val="hu-HU"/>
        </w:rPr>
        <w:t>összpontszám</w:t>
      </w:r>
      <w:proofErr w:type="spellEnd"/>
      <w:r w:rsidR="00232F4B" w:rsidRPr="009C4B80">
        <w:rPr>
          <w:lang w:val="hu-HU"/>
        </w:rPr>
        <w:t xml:space="preserve"> elérése az év végéig).</w:t>
      </w:r>
    </w:p>
    <w:p w:rsidR="009010F3" w:rsidRPr="009C4B80" w:rsidRDefault="00232F4B" w:rsidP="00AD3ACE">
      <w:pPr>
        <w:rPr>
          <w:lang w:val="hu-HU"/>
        </w:rPr>
      </w:pPr>
      <w:r w:rsidRPr="009C4B80">
        <w:rPr>
          <w:lang w:val="hu-HU"/>
        </w:rPr>
        <w:t>A második évről a hallgató elsősorban a kötelező tantárgyakat írja be.</w:t>
      </w:r>
    </w:p>
    <w:p w:rsidR="00232F4B" w:rsidRPr="009C4B80" w:rsidRDefault="00232F4B" w:rsidP="00AD3ACE">
      <w:pPr>
        <w:rPr>
          <w:lang w:val="hu-HU"/>
        </w:rPr>
      </w:pPr>
      <w:r w:rsidRPr="009C4B80">
        <w:rPr>
          <w:lang w:val="hu-HU"/>
        </w:rPr>
        <w:t>A</w:t>
      </w:r>
      <w:r w:rsidR="00511666" w:rsidRPr="009C4B80">
        <w:rPr>
          <w:lang w:val="hu-HU"/>
        </w:rPr>
        <w:t>z ismét</w:t>
      </w:r>
      <w:r w:rsidRPr="009C4B80">
        <w:rPr>
          <w:lang w:val="hu-HU"/>
        </w:rPr>
        <w:t xml:space="preserve"> bejelentett tantárgyak előadásait újra kell hallgatni. Amennyiben a tantervben két előadás fedi egymást, a hallgató kötelességét a tantárgyfelelős tanárral egyezteti.</w:t>
      </w:r>
    </w:p>
    <w:p w:rsidR="0000274D" w:rsidRPr="0000274D" w:rsidRDefault="0000274D" w:rsidP="0000274D">
      <w:pPr>
        <w:rPr>
          <w:lang w:val="hu-HU"/>
        </w:rPr>
      </w:pPr>
      <w:r w:rsidRPr="0000274D">
        <w:rPr>
          <w:lang w:val="hu-HU"/>
        </w:rPr>
        <w:t>Az iratkozás</w:t>
      </w:r>
      <w:r>
        <w:rPr>
          <w:lang w:val="hu-HU"/>
        </w:rPr>
        <w:t xml:space="preserve"> valamint a tandíj</w:t>
      </w:r>
      <w:r w:rsidRPr="0000274D">
        <w:rPr>
          <w:lang w:val="hu-HU"/>
        </w:rPr>
        <w:t xml:space="preserve"> költségeit a k</w:t>
      </w:r>
      <w:r>
        <w:rPr>
          <w:lang w:val="hu-HU"/>
        </w:rPr>
        <w:t>övetkező folyószámlaszámra szükséges</w:t>
      </w:r>
      <w:r w:rsidRPr="0000274D">
        <w:rPr>
          <w:lang w:val="hu-HU"/>
        </w:rPr>
        <w:t xml:space="preserve"> befizetni: </w:t>
      </w:r>
      <w:r w:rsidRPr="0000274D">
        <w:rPr>
          <w:bCs/>
          <w:lang w:val="hu-HU"/>
        </w:rPr>
        <w:t>840-526666-66</w:t>
      </w:r>
      <w:r>
        <w:rPr>
          <w:bCs/>
          <w:lang w:val="hu-HU"/>
        </w:rPr>
        <w:t xml:space="preserve">, követve az </w:t>
      </w:r>
      <w:proofErr w:type="spellStart"/>
      <w:r>
        <w:rPr>
          <w:bCs/>
          <w:lang w:val="hu-HU"/>
        </w:rPr>
        <w:t>EREF-en</w:t>
      </w:r>
      <w:proofErr w:type="spellEnd"/>
      <w:r>
        <w:rPr>
          <w:bCs/>
          <w:lang w:val="hu-HU"/>
        </w:rPr>
        <w:t xml:space="preserve"> található utasítást a </w:t>
      </w:r>
      <w:r>
        <w:rPr>
          <w:lang w:val="sr-Latn-CS"/>
        </w:rPr>
        <w:t xml:space="preserve">„Troškovi upisnine i školarine“ </w:t>
      </w:r>
      <w:proofErr w:type="spellStart"/>
      <w:r>
        <w:rPr>
          <w:lang w:val="sr-Latn-CS"/>
        </w:rPr>
        <w:t>alatt</w:t>
      </w:r>
      <w:proofErr w:type="spellEnd"/>
      <w:r>
        <w:rPr>
          <w:lang w:val="sr-Latn-CS"/>
        </w:rPr>
        <w:t>.</w:t>
      </w:r>
    </w:p>
    <w:p w:rsidR="00232F4B" w:rsidRPr="009C4B80" w:rsidRDefault="00232F4B" w:rsidP="00232F4B">
      <w:pPr>
        <w:numPr>
          <w:ilvl w:val="0"/>
          <w:numId w:val="15"/>
        </w:numPr>
        <w:spacing w:before="0" w:after="0" w:line="240" w:lineRule="auto"/>
        <w:rPr>
          <w:lang w:val="hu-HU"/>
        </w:rPr>
      </w:pPr>
      <w:r w:rsidRPr="009C4B80">
        <w:rPr>
          <w:lang w:val="hu-HU"/>
        </w:rPr>
        <w:t xml:space="preserve">Az </w:t>
      </w:r>
      <w:r w:rsidR="006E3B3B" w:rsidRPr="009C4B80">
        <w:rPr>
          <w:lang w:val="hu-HU"/>
        </w:rPr>
        <w:t>i</w:t>
      </w:r>
      <w:r w:rsidRPr="009C4B80">
        <w:rPr>
          <w:lang w:val="hu-HU"/>
        </w:rPr>
        <w:t>rat</w:t>
      </w:r>
      <w:r w:rsidR="0000274D">
        <w:rPr>
          <w:lang w:val="hu-HU"/>
        </w:rPr>
        <w:t xml:space="preserve">kozási költsége </w:t>
      </w:r>
      <w:r w:rsidR="005420F9">
        <w:rPr>
          <w:lang w:val="hu-HU"/>
        </w:rPr>
        <w:t>8</w:t>
      </w:r>
      <w:r w:rsidR="0000274D">
        <w:rPr>
          <w:lang w:val="hu-HU"/>
        </w:rPr>
        <w:t>.</w:t>
      </w:r>
      <w:r w:rsidR="00E3681C">
        <w:rPr>
          <w:lang w:val="hu-HU"/>
        </w:rPr>
        <w:t>5</w:t>
      </w:r>
      <w:r w:rsidR="0000274D">
        <w:rPr>
          <w:lang w:val="hu-HU"/>
        </w:rPr>
        <w:t>00.00 dinár,</w:t>
      </w:r>
    </w:p>
    <w:p w:rsidR="00A74602" w:rsidRPr="009C4B80" w:rsidRDefault="00232F4B" w:rsidP="00232F4B">
      <w:pPr>
        <w:numPr>
          <w:ilvl w:val="0"/>
          <w:numId w:val="15"/>
        </w:numPr>
        <w:spacing w:before="0" w:after="0" w:line="240" w:lineRule="auto"/>
        <w:rPr>
          <w:lang w:val="hu-HU"/>
        </w:rPr>
      </w:pPr>
      <w:r w:rsidRPr="009C4B80">
        <w:rPr>
          <w:lang w:val="hu-HU"/>
        </w:rPr>
        <w:t>A tandíj</w:t>
      </w:r>
    </w:p>
    <w:p w:rsidR="00A74602" w:rsidRPr="009C4B80" w:rsidRDefault="00A74602" w:rsidP="00AD3ACE">
      <w:pPr>
        <w:numPr>
          <w:ilvl w:val="1"/>
          <w:numId w:val="3"/>
        </w:numPr>
        <w:spacing w:before="0" w:after="0" w:line="240" w:lineRule="auto"/>
        <w:rPr>
          <w:lang w:val="hu-HU"/>
        </w:rPr>
      </w:pPr>
      <w:r w:rsidRPr="009C4B80">
        <w:rPr>
          <w:lang w:val="hu-HU"/>
        </w:rPr>
        <w:t>50</w:t>
      </w:r>
      <w:r w:rsidR="009010F3" w:rsidRPr="009C4B80">
        <w:rPr>
          <w:lang w:val="hu-HU"/>
        </w:rPr>
        <w:t>.000.00</w:t>
      </w:r>
      <w:r w:rsidRPr="009C4B80">
        <w:rPr>
          <w:lang w:val="hu-HU"/>
        </w:rPr>
        <w:t xml:space="preserve"> </w:t>
      </w:r>
      <w:r w:rsidR="00232F4B" w:rsidRPr="009C4B80">
        <w:rPr>
          <w:lang w:val="hu-HU"/>
        </w:rPr>
        <w:t>dinár</w:t>
      </w:r>
      <w:r w:rsidRPr="009C4B80">
        <w:rPr>
          <w:lang w:val="hu-HU"/>
        </w:rPr>
        <w:t xml:space="preserve"> (</w:t>
      </w:r>
      <w:r w:rsidR="00232F4B" w:rsidRPr="009C4B80">
        <w:rPr>
          <w:lang w:val="hu-HU"/>
        </w:rPr>
        <w:t>amennyib</w:t>
      </w:r>
      <w:r w:rsidR="006E3B3B" w:rsidRPr="009C4B80">
        <w:rPr>
          <w:lang w:val="hu-HU"/>
        </w:rPr>
        <w:t>en egy részletben fizeti a hallga</w:t>
      </w:r>
      <w:r w:rsidR="00232F4B" w:rsidRPr="009C4B80">
        <w:rPr>
          <w:lang w:val="hu-HU"/>
        </w:rPr>
        <w:t>tó az iskolaév beírásakor</w:t>
      </w:r>
      <w:r w:rsidRPr="009C4B80">
        <w:rPr>
          <w:lang w:val="hu-HU"/>
        </w:rPr>
        <w:t>)</w:t>
      </w:r>
    </w:p>
    <w:p w:rsidR="00A74602" w:rsidRPr="009C4B80" w:rsidRDefault="00AD3ACE" w:rsidP="00AD3ACE">
      <w:pPr>
        <w:numPr>
          <w:ilvl w:val="1"/>
          <w:numId w:val="3"/>
        </w:numPr>
        <w:spacing w:before="0" w:after="0" w:line="240" w:lineRule="auto"/>
        <w:rPr>
          <w:lang w:val="hu-HU"/>
        </w:rPr>
      </w:pPr>
      <w:r w:rsidRPr="009C4B80">
        <w:rPr>
          <w:lang w:val="hu-HU"/>
        </w:rPr>
        <w:t>5</w:t>
      </w:r>
      <w:r w:rsidR="00F94456">
        <w:rPr>
          <w:lang w:val="hu-HU"/>
        </w:rPr>
        <w:t>8</w:t>
      </w:r>
      <w:r w:rsidRPr="009C4B80">
        <w:rPr>
          <w:lang w:val="hu-HU"/>
        </w:rPr>
        <w:t xml:space="preserve">.000.00 </w:t>
      </w:r>
      <w:r w:rsidR="00232F4B" w:rsidRPr="009C4B80">
        <w:rPr>
          <w:lang w:val="hu-HU"/>
        </w:rPr>
        <w:t>dinár</w:t>
      </w:r>
      <w:r w:rsidRPr="009C4B80">
        <w:rPr>
          <w:lang w:val="hu-HU"/>
        </w:rPr>
        <w:t xml:space="preserve"> (</w:t>
      </w:r>
      <w:r w:rsidR="00232F4B" w:rsidRPr="009C4B80">
        <w:rPr>
          <w:lang w:val="hu-HU"/>
        </w:rPr>
        <w:t>amennyibe két részletben fizeti a hallgató; az iskolaév beírásakor az első részletet, és a téli szemeszter bejelentésekor a második részletet</w:t>
      </w:r>
      <w:r w:rsidRPr="009C4B80">
        <w:rPr>
          <w:lang w:val="hu-HU"/>
        </w:rPr>
        <w:t>)</w:t>
      </w:r>
    </w:p>
    <w:p w:rsidR="00E5259B" w:rsidRPr="009C4B80" w:rsidRDefault="00E5259B" w:rsidP="00AD3ACE">
      <w:pPr>
        <w:rPr>
          <w:lang w:val="hu-HU"/>
        </w:rPr>
      </w:pPr>
    </w:p>
    <w:p w:rsidR="006E3B3B" w:rsidRPr="009C4B80" w:rsidRDefault="00B31E19" w:rsidP="00AD3ACE">
      <w:pPr>
        <w:rPr>
          <w:lang w:val="hu-HU"/>
        </w:rPr>
      </w:pPr>
      <w:r>
        <w:rPr>
          <w:lang w:val="hu-HU"/>
        </w:rPr>
        <w:br w:type="page"/>
      </w:r>
    </w:p>
    <w:p w:rsidR="00576507" w:rsidRPr="009C4B80" w:rsidRDefault="0000274D" w:rsidP="00AD3ACE">
      <w:pPr>
        <w:pStyle w:val="Heading2"/>
        <w:rPr>
          <w:lang w:val="hu-HU"/>
        </w:rPr>
      </w:pPr>
      <w:r>
        <w:rPr>
          <w:lang w:val="hu-HU"/>
        </w:rPr>
        <w:lastRenderedPageBreak/>
        <w:t>Az előző</w:t>
      </w:r>
      <w:r w:rsidR="005420F9">
        <w:rPr>
          <w:lang w:val="hu-HU"/>
        </w:rPr>
        <w:t xml:space="preserve"> TANÉVBEN </w:t>
      </w:r>
      <w:r w:rsidR="00AA50C0">
        <w:rPr>
          <w:lang w:val="hu-HU"/>
        </w:rPr>
        <w:t>48</w:t>
      </w:r>
      <w:r w:rsidR="00830B07" w:rsidRPr="009C4B80">
        <w:rPr>
          <w:lang w:val="hu-HU"/>
        </w:rPr>
        <w:t xml:space="preserve"> ÉS 60 ECTS KÖZÖTTI pontszámot elért elsőéves hallgatók</w:t>
      </w:r>
    </w:p>
    <w:p w:rsidR="00962B30" w:rsidRPr="009C4B80" w:rsidRDefault="00962B30" w:rsidP="00AD3ACE">
      <w:pPr>
        <w:spacing w:before="0" w:after="0"/>
        <w:rPr>
          <w:lang w:val="hu-HU"/>
        </w:rPr>
      </w:pPr>
    </w:p>
    <w:p w:rsidR="00511666" w:rsidRPr="009C4B80" w:rsidRDefault="00962B30" w:rsidP="00AD3ACE">
      <w:pPr>
        <w:spacing w:before="0" w:after="0"/>
        <w:rPr>
          <w:lang w:val="hu-HU"/>
        </w:rPr>
      </w:pPr>
      <w:r w:rsidRPr="009C4B80">
        <w:rPr>
          <w:lang w:val="hu-HU"/>
        </w:rPr>
        <w:t>Azo</w:t>
      </w:r>
      <w:r w:rsidR="005420F9">
        <w:rPr>
          <w:lang w:val="hu-HU"/>
        </w:rPr>
        <w:t xml:space="preserve">k az elsőéves hallgatók, akik </w:t>
      </w:r>
      <w:r w:rsidR="00AA50C0">
        <w:rPr>
          <w:lang w:val="hu-HU"/>
        </w:rPr>
        <w:t>48</w:t>
      </w:r>
      <w:r w:rsidRPr="009C4B80">
        <w:rPr>
          <w:lang w:val="hu-HU"/>
        </w:rPr>
        <w:t xml:space="preserve"> és 60 ECTS közötti pontszámmal fejezték az évet, beírhatják a második tanévet és </w:t>
      </w:r>
      <w:proofErr w:type="gramStart"/>
      <w:r w:rsidRPr="009C4B80">
        <w:rPr>
          <w:lang w:val="hu-HU"/>
        </w:rPr>
        <w:t>maradnak</w:t>
      </w:r>
      <w:proofErr w:type="gramEnd"/>
      <w:r w:rsidRPr="009C4B80">
        <w:rPr>
          <w:lang w:val="hu-HU"/>
        </w:rPr>
        <w:t xml:space="preserve"> ill. átkerülnek államköltségi beosztásban (az állam fizeti a tandíjat). Azoknak az elsőéves hallgatóknak, akik nem tisztázták le az első évet (nem értek el 60 ECTS pontszámot) ismét be kell írniuk </w:t>
      </w:r>
      <w:r w:rsidR="00E5259B" w:rsidRPr="009C4B80">
        <w:rPr>
          <w:lang w:val="hu-HU"/>
        </w:rPr>
        <w:t>a visszamaradt</w:t>
      </w:r>
      <w:r w:rsidRPr="009C4B80">
        <w:rPr>
          <w:lang w:val="hu-HU"/>
        </w:rPr>
        <w:t xml:space="preserve"> tantárgyakat, melyeknek záróvizsgá</w:t>
      </w:r>
      <w:r w:rsidR="00E5259B" w:rsidRPr="009C4B80">
        <w:rPr>
          <w:lang w:val="hu-HU"/>
        </w:rPr>
        <w:t>i</w:t>
      </w:r>
      <w:r w:rsidRPr="009C4B80">
        <w:rPr>
          <w:lang w:val="hu-HU"/>
        </w:rPr>
        <w:t xml:space="preserve">t nem tették le. Ebben az esetben a visszamaradt tantárgyak költségeit a hallgatók viselik (nem támogatja az állam). </w:t>
      </w:r>
    </w:p>
    <w:p w:rsidR="00962B30" w:rsidRPr="009C4B80" w:rsidRDefault="00962B30" w:rsidP="00AD3ACE">
      <w:pPr>
        <w:spacing w:before="0" w:after="0"/>
        <w:rPr>
          <w:lang w:val="hu-HU"/>
        </w:rPr>
      </w:pPr>
      <w:r w:rsidRPr="009C4B80">
        <w:rPr>
          <w:lang w:val="hu-HU"/>
        </w:rPr>
        <w:t xml:space="preserve">PÉLDA: </w:t>
      </w:r>
      <w:r w:rsidR="00511666" w:rsidRPr="009C4B80">
        <w:rPr>
          <w:lang w:val="hu-HU"/>
        </w:rPr>
        <w:t xml:space="preserve">Amennyiben a hallgató az év folyamán 54 ECTS pontszámot ért el, akkor az első évről 6 ECTS pontszám értékben jelent be </w:t>
      </w:r>
      <w:proofErr w:type="spellStart"/>
      <w:r w:rsidR="00511666" w:rsidRPr="009C4B80">
        <w:rPr>
          <w:lang w:val="hu-HU"/>
        </w:rPr>
        <w:t>tantágyat</w:t>
      </w:r>
      <w:proofErr w:type="spellEnd"/>
      <w:r w:rsidR="00511666" w:rsidRPr="009C4B80">
        <w:rPr>
          <w:lang w:val="hu-HU"/>
        </w:rPr>
        <w:t xml:space="preserve"> (60 – 54 = 6 ECTS). </w:t>
      </w:r>
    </w:p>
    <w:p w:rsidR="00962B30" w:rsidRPr="009C4B80" w:rsidRDefault="00962B30" w:rsidP="00AD3ACE">
      <w:pPr>
        <w:spacing w:before="0" w:after="0"/>
        <w:rPr>
          <w:lang w:val="hu-HU"/>
        </w:rPr>
      </w:pPr>
    </w:p>
    <w:p w:rsidR="00E5259B" w:rsidRPr="009C4B80" w:rsidRDefault="00511666" w:rsidP="00AD3ACE">
      <w:pPr>
        <w:spacing w:before="0" w:after="0"/>
        <w:rPr>
          <w:lang w:val="hu-HU"/>
        </w:rPr>
      </w:pPr>
      <w:r w:rsidRPr="009C4B80">
        <w:rPr>
          <w:lang w:val="hu-HU"/>
        </w:rPr>
        <w:t>Az elsőéves kötelező tantárgyakat, melyeknek záróvizsgáját a hallgató nem tette le, elengedhetetlen</w:t>
      </w:r>
      <w:r w:rsidR="006E3B3B" w:rsidRPr="009C4B80">
        <w:rPr>
          <w:lang w:val="hu-HU"/>
        </w:rPr>
        <w:t>ül</w:t>
      </w:r>
      <w:r w:rsidRPr="009C4B80">
        <w:rPr>
          <w:lang w:val="hu-HU"/>
        </w:rPr>
        <w:t xml:space="preserve"> be kell </w:t>
      </w:r>
      <w:r w:rsidR="00E5259B" w:rsidRPr="009C4B80">
        <w:rPr>
          <w:lang w:val="hu-HU"/>
        </w:rPr>
        <w:t>jelenteni</w:t>
      </w:r>
      <w:r w:rsidRPr="009C4B80">
        <w:rPr>
          <w:lang w:val="hu-HU"/>
        </w:rPr>
        <w:t>. A le nem tisztázott választ</w:t>
      </w:r>
      <w:r w:rsidR="001878CF" w:rsidRPr="009C4B80">
        <w:rPr>
          <w:lang w:val="hu-HU"/>
        </w:rPr>
        <w:t>ható</w:t>
      </w:r>
      <w:r w:rsidRPr="009C4B80">
        <w:rPr>
          <w:lang w:val="hu-HU"/>
        </w:rPr>
        <w:t xml:space="preserve"> tantárgyakat ismét be lehet jelenteni, illetve azok helyett újat választhat a hallgató (a választás feltétele a kötelező 60 ECTS </w:t>
      </w:r>
      <w:proofErr w:type="spellStart"/>
      <w:r w:rsidRPr="009C4B80">
        <w:rPr>
          <w:lang w:val="hu-HU"/>
        </w:rPr>
        <w:t>összpontszám</w:t>
      </w:r>
      <w:proofErr w:type="spellEnd"/>
      <w:r w:rsidRPr="009C4B80">
        <w:rPr>
          <w:lang w:val="hu-HU"/>
        </w:rPr>
        <w:t xml:space="preserve"> elérése az év végéig). </w:t>
      </w:r>
    </w:p>
    <w:p w:rsidR="00E5259B" w:rsidRPr="009C4B80" w:rsidRDefault="00E5259B" w:rsidP="00AD3ACE">
      <w:pPr>
        <w:spacing w:before="0" w:after="0"/>
        <w:rPr>
          <w:lang w:val="hu-HU"/>
        </w:rPr>
      </w:pPr>
    </w:p>
    <w:p w:rsidR="00511666" w:rsidRPr="009C4B80" w:rsidRDefault="00511666" w:rsidP="00E5259B">
      <w:pPr>
        <w:spacing w:before="0" w:after="0"/>
        <w:rPr>
          <w:lang w:val="hu-HU"/>
        </w:rPr>
      </w:pPr>
      <w:r w:rsidRPr="009C4B80">
        <w:rPr>
          <w:lang w:val="hu-HU"/>
        </w:rPr>
        <w:t xml:space="preserve">Mivel a hallgató állami költségen folytatja tanulmányait, ezért köteles egészében lehallgatni a második </w:t>
      </w:r>
      <w:r w:rsidR="00E5259B" w:rsidRPr="009C4B80">
        <w:rPr>
          <w:lang w:val="hu-HU"/>
        </w:rPr>
        <w:t>tanévet</w:t>
      </w:r>
      <w:r w:rsidRPr="009C4B80">
        <w:rPr>
          <w:lang w:val="hu-HU"/>
        </w:rPr>
        <w:t xml:space="preserve"> (minden kötelező tantárgyat, ill. annyi választott tantárgyat, ahány szükséges a 60 ECTS </w:t>
      </w:r>
      <w:proofErr w:type="spellStart"/>
      <w:r w:rsidRPr="009C4B80">
        <w:rPr>
          <w:lang w:val="hu-HU"/>
        </w:rPr>
        <w:t>összpontszám</w:t>
      </w:r>
      <w:proofErr w:type="spellEnd"/>
      <w:r w:rsidRPr="009C4B80">
        <w:rPr>
          <w:lang w:val="hu-HU"/>
        </w:rPr>
        <w:t xml:space="preserve"> eléréséhez). Az ismét bejelentett tantárgyak előadásait újra kell hallgatni. Amennyiben a tantervben két előadás fedi egymást, a hallgató kötelességét a tantárgyfelelős tanárral egyezteti.</w:t>
      </w:r>
    </w:p>
    <w:p w:rsidR="0000274D" w:rsidRPr="0000274D" w:rsidRDefault="0000274D" w:rsidP="0000274D">
      <w:pPr>
        <w:rPr>
          <w:lang w:val="hu-HU"/>
        </w:rPr>
      </w:pPr>
      <w:r w:rsidRPr="0000274D">
        <w:rPr>
          <w:lang w:val="hu-HU"/>
        </w:rPr>
        <w:t>Az iratkozás</w:t>
      </w:r>
      <w:r>
        <w:rPr>
          <w:lang w:val="hu-HU"/>
        </w:rPr>
        <w:t xml:space="preserve"> valamint a tandíj</w:t>
      </w:r>
      <w:r w:rsidRPr="0000274D">
        <w:rPr>
          <w:lang w:val="hu-HU"/>
        </w:rPr>
        <w:t xml:space="preserve"> költségeit a k</w:t>
      </w:r>
      <w:r>
        <w:rPr>
          <w:lang w:val="hu-HU"/>
        </w:rPr>
        <w:t>övetkező folyószámlaszámra szükséges</w:t>
      </w:r>
      <w:r w:rsidRPr="0000274D">
        <w:rPr>
          <w:lang w:val="hu-HU"/>
        </w:rPr>
        <w:t xml:space="preserve"> befizetni: </w:t>
      </w:r>
      <w:r w:rsidRPr="0000274D">
        <w:rPr>
          <w:bCs/>
          <w:lang w:val="hu-HU"/>
        </w:rPr>
        <w:t>840-526666-66</w:t>
      </w:r>
      <w:r>
        <w:rPr>
          <w:bCs/>
          <w:lang w:val="hu-HU"/>
        </w:rPr>
        <w:t xml:space="preserve">, követve az </w:t>
      </w:r>
      <w:proofErr w:type="spellStart"/>
      <w:r>
        <w:rPr>
          <w:bCs/>
          <w:lang w:val="hu-HU"/>
        </w:rPr>
        <w:t>EREF-en</w:t>
      </w:r>
      <w:proofErr w:type="spellEnd"/>
      <w:r>
        <w:rPr>
          <w:bCs/>
          <w:lang w:val="hu-HU"/>
        </w:rPr>
        <w:t xml:space="preserve"> található utasítást a </w:t>
      </w:r>
      <w:r>
        <w:rPr>
          <w:lang w:val="sr-Latn-CS"/>
        </w:rPr>
        <w:t xml:space="preserve">„Troškovi upisnine i školarine“ </w:t>
      </w:r>
      <w:proofErr w:type="spellStart"/>
      <w:r>
        <w:rPr>
          <w:lang w:val="sr-Latn-CS"/>
        </w:rPr>
        <w:t>alatt</w:t>
      </w:r>
      <w:proofErr w:type="spellEnd"/>
      <w:r>
        <w:rPr>
          <w:lang w:val="sr-Latn-CS"/>
        </w:rPr>
        <w:t>.</w:t>
      </w:r>
    </w:p>
    <w:p w:rsidR="00511666" w:rsidRPr="009C4B80" w:rsidRDefault="00511666" w:rsidP="00511666">
      <w:pPr>
        <w:numPr>
          <w:ilvl w:val="0"/>
          <w:numId w:val="16"/>
        </w:numPr>
        <w:spacing w:before="0" w:after="0" w:line="240" w:lineRule="auto"/>
        <w:rPr>
          <w:lang w:val="hu-HU"/>
        </w:rPr>
      </w:pPr>
      <w:r w:rsidRPr="009C4B80">
        <w:rPr>
          <w:lang w:val="hu-HU"/>
        </w:rPr>
        <w:t xml:space="preserve">Az </w:t>
      </w:r>
      <w:r w:rsidR="006E3B3B" w:rsidRPr="009C4B80">
        <w:rPr>
          <w:lang w:val="hu-HU"/>
        </w:rPr>
        <w:t>i</w:t>
      </w:r>
      <w:r w:rsidRPr="009C4B80">
        <w:rPr>
          <w:lang w:val="hu-HU"/>
        </w:rPr>
        <w:t>rat</w:t>
      </w:r>
      <w:r w:rsidR="005420F9">
        <w:rPr>
          <w:lang w:val="hu-HU"/>
        </w:rPr>
        <w:t>kozási költsége 8</w:t>
      </w:r>
      <w:r w:rsidR="0000274D">
        <w:rPr>
          <w:lang w:val="hu-HU"/>
        </w:rPr>
        <w:t>.</w:t>
      </w:r>
      <w:r w:rsidR="00E3681C">
        <w:rPr>
          <w:lang w:val="hu-HU"/>
        </w:rPr>
        <w:t>5</w:t>
      </w:r>
      <w:r w:rsidR="0000274D">
        <w:rPr>
          <w:lang w:val="hu-HU"/>
        </w:rPr>
        <w:t>00.00 dinár,</w:t>
      </w:r>
    </w:p>
    <w:p w:rsidR="00511666" w:rsidRPr="009C4B80" w:rsidRDefault="00511666" w:rsidP="00511666">
      <w:pPr>
        <w:numPr>
          <w:ilvl w:val="0"/>
          <w:numId w:val="16"/>
        </w:numPr>
        <w:spacing w:before="0" w:after="0" w:line="240" w:lineRule="auto"/>
        <w:rPr>
          <w:lang w:val="hu-HU"/>
        </w:rPr>
      </w:pPr>
      <w:r w:rsidRPr="009C4B80">
        <w:rPr>
          <w:lang w:val="hu-HU"/>
        </w:rPr>
        <w:t>Az első évről bejelentett tantárgyak költségei</w:t>
      </w:r>
    </w:p>
    <w:p w:rsidR="00511666" w:rsidRPr="009C4B80" w:rsidRDefault="00511666" w:rsidP="00511666">
      <w:pPr>
        <w:spacing w:before="0" w:after="0" w:line="240" w:lineRule="auto"/>
        <w:ind w:left="720"/>
        <w:rPr>
          <w:lang w:val="hu-HU"/>
        </w:rPr>
      </w:pPr>
      <w:r w:rsidRPr="009C4B80">
        <w:rPr>
          <w:lang w:val="hu-HU"/>
        </w:rPr>
        <w:t>A hall</w:t>
      </w:r>
      <w:r w:rsidR="006E3B3B" w:rsidRPr="009C4B80">
        <w:rPr>
          <w:lang w:val="hu-HU"/>
        </w:rPr>
        <w:t>ga</w:t>
      </w:r>
      <w:r w:rsidRPr="009C4B80">
        <w:rPr>
          <w:lang w:val="hu-HU"/>
        </w:rPr>
        <w:t xml:space="preserve">tó annyi ECTS pontszámnak megfelelő összeget fizet be, amennyit újra bejelentett </w:t>
      </w:r>
    </w:p>
    <w:p w:rsidR="00511666" w:rsidRPr="009C4B80" w:rsidRDefault="0000274D" w:rsidP="00511666">
      <w:pPr>
        <w:spacing w:before="0" w:after="0" w:line="240" w:lineRule="auto"/>
        <w:ind w:left="720"/>
        <w:rPr>
          <w:lang w:val="hu-HU"/>
        </w:rPr>
      </w:pPr>
      <w:r>
        <w:rPr>
          <w:lang w:val="hu-HU"/>
        </w:rPr>
        <w:t>1 ECTS = 833</w:t>
      </w:r>
      <w:r w:rsidR="00511666" w:rsidRPr="009C4B80">
        <w:rPr>
          <w:lang w:val="hu-HU"/>
        </w:rPr>
        <w:t>,00 RSD (ha egy részletben fizetik az összeget)</w:t>
      </w:r>
    </w:p>
    <w:p w:rsidR="00511666" w:rsidRPr="009C4B80" w:rsidRDefault="00511666" w:rsidP="00511666">
      <w:pPr>
        <w:spacing w:before="0" w:after="0" w:line="240" w:lineRule="auto"/>
        <w:ind w:left="720"/>
        <w:rPr>
          <w:lang w:val="hu-HU"/>
        </w:rPr>
      </w:pPr>
      <w:r w:rsidRPr="009C4B80">
        <w:rPr>
          <w:lang w:val="hu-HU"/>
        </w:rPr>
        <w:t>1 ECTS = 900,00 RSD (ha két részletben fizetik az összeget)</w:t>
      </w:r>
    </w:p>
    <w:p w:rsidR="00511666" w:rsidRPr="009C4B80" w:rsidRDefault="00511666" w:rsidP="00511666">
      <w:pPr>
        <w:numPr>
          <w:ilvl w:val="1"/>
          <w:numId w:val="16"/>
        </w:numPr>
        <w:spacing w:before="0" w:after="0" w:line="240" w:lineRule="auto"/>
        <w:rPr>
          <w:lang w:val="hu-HU"/>
        </w:rPr>
      </w:pPr>
      <w:r w:rsidRPr="009C4B80">
        <w:rPr>
          <w:lang w:val="hu-HU"/>
        </w:rPr>
        <w:t>PÉLDA egy részletes fizetés esetén: Amennyiben a hallgató az első évből 4 ECTS pontszám</w:t>
      </w:r>
      <w:r w:rsidR="00E5259B" w:rsidRPr="009C4B80">
        <w:rPr>
          <w:lang w:val="hu-HU"/>
        </w:rPr>
        <w:t>mal terhelt tantárgyat</w:t>
      </w:r>
      <w:r w:rsidRPr="009C4B80">
        <w:rPr>
          <w:lang w:val="hu-HU"/>
        </w:rPr>
        <w:t xml:space="preserve"> jelent be, akkor 3.3</w:t>
      </w:r>
      <w:r w:rsidR="0000274D">
        <w:rPr>
          <w:lang w:val="hu-HU"/>
        </w:rPr>
        <w:t>20,00 dinárt fizet (4 ECTS x 833</w:t>
      </w:r>
      <w:r w:rsidRPr="009C4B80">
        <w:rPr>
          <w:lang w:val="hu-HU"/>
        </w:rPr>
        <w:t xml:space="preserve">,00 RSD = </w:t>
      </w:r>
      <w:r w:rsidR="00E5259B" w:rsidRPr="009C4B80">
        <w:rPr>
          <w:lang w:val="hu-HU"/>
        </w:rPr>
        <w:t>3</w:t>
      </w:r>
      <w:r w:rsidR="0000274D">
        <w:rPr>
          <w:lang w:val="hu-HU"/>
        </w:rPr>
        <w:t>.332</w:t>
      </w:r>
      <w:r w:rsidRPr="009C4B80">
        <w:rPr>
          <w:lang w:val="hu-HU"/>
        </w:rPr>
        <w:t>,00 RSD). Az összeg</w:t>
      </w:r>
      <w:r w:rsidR="006E3B3B" w:rsidRPr="009C4B80">
        <w:rPr>
          <w:lang w:val="hu-HU"/>
        </w:rPr>
        <w:t>et egészében kell befizetni az i</w:t>
      </w:r>
      <w:r w:rsidRPr="009C4B80">
        <w:rPr>
          <w:lang w:val="hu-HU"/>
        </w:rPr>
        <w:t>ratkozás során.</w:t>
      </w:r>
    </w:p>
    <w:p w:rsidR="00511666" w:rsidRPr="009C4B80" w:rsidRDefault="00511666" w:rsidP="00511666">
      <w:pPr>
        <w:numPr>
          <w:ilvl w:val="1"/>
          <w:numId w:val="16"/>
        </w:numPr>
        <w:spacing w:before="0" w:after="0" w:line="240" w:lineRule="auto"/>
        <w:rPr>
          <w:lang w:val="hu-HU"/>
        </w:rPr>
      </w:pPr>
      <w:r w:rsidRPr="009C4B80">
        <w:rPr>
          <w:lang w:val="hu-HU"/>
        </w:rPr>
        <w:t xml:space="preserve">PÉLDA két részletes fizetés esetén: Amennyiben a hallgató az első </w:t>
      </w:r>
      <w:proofErr w:type="spellStart"/>
      <w:r w:rsidRPr="009C4B80">
        <w:rPr>
          <w:lang w:val="hu-HU"/>
        </w:rPr>
        <w:t>évb</w:t>
      </w:r>
      <w:r w:rsidR="00E5259B" w:rsidRPr="009C4B80">
        <w:rPr>
          <w:lang w:val="hu-HU"/>
        </w:rPr>
        <w:t>ő</w:t>
      </w:r>
      <w:r w:rsidRPr="009C4B80">
        <w:rPr>
          <w:lang w:val="hu-HU"/>
        </w:rPr>
        <w:t>n</w:t>
      </w:r>
      <w:proofErr w:type="spellEnd"/>
      <w:r w:rsidRPr="009C4B80">
        <w:rPr>
          <w:lang w:val="hu-HU"/>
        </w:rPr>
        <w:t xml:space="preserve"> </w:t>
      </w:r>
      <w:r w:rsidR="00E5259B" w:rsidRPr="009C4B80">
        <w:rPr>
          <w:lang w:val="hu-HU"/>
        </w:rPr>
        <w:t>4</w:t>
      </w:r>
      <w:r w:rsidRPr="009C4B80">
        <w:rPr>
          <w:lang w:val="hu-HU"/>
        </w:rPr>
        <w:t xml:space="preserve"> ECTS </w:t>
      </w:r>
      <w:r w:rsidR="00E5259B" w:rsidRPr="009C4B80">
        <w:rPr>
          <w:lang w:val="hu-HU"/>
        </w:rPr>
        <w:t>pontszámmal terhelt tantárgyat jelent be</w:t>
      </w:r>
      <w:r w:rsidRPr="009C4B80">
        <w:rPr>
          <w:lang w:val="hu-HU"/>
        </w:rPr>
        <w:t xml:space="preserve">, akkor </w:t>
      </w:r>
      <w:r w:rsidR="00E5259B" w:rsidRPr="009C4B80">
        <w:rPr>
          <w:lang w:val="hu-HU"/>
        </w:rPr>
        <w:t>3</w:t>
      </w:r>
      <w:r w:rsidRPr="009C4B80">
        <w:rPr>
          <w:lang w:val="hu-HU"/>
        </w:rPr>
        <w:t>.</w:t>
      </w:r>
      <w:r w:rsidR="00F94456">
        <w:rPr>
          <w:lang w:val="hu-HU"/>
        </w:rPr>
        <w:t>864</w:t>
      </w:r>
      <w:r w:rsidRPr="009C4B80">
        <w:rPr>
          <w:lang w:val="hu-HU"/>
        </w:rPr>
        <w:t xml:space="preserve">,00 dinárt </w:t>
      </w:r>
      <w:r w:rsidR="00E5259B" w:rsidRPr="009C4B80">
        <w:rPr>
          <w:lang w:val="hu-HU"/>
        </w:rPr>
        <w:t xml:space="preserve">fizet </w:t>
      </w:r>
      <w:r w:rsidRPr="009C4B80">
        <w:rPr>
          <w:lang w:val="hu-HU"/>
        </w:rPr>
        <w:t>(</w:t>
      </w:r>
      <w:r w:rsidR="00E5259B" w:rsidRPr="009C4B80">
        <w:rPr>
          <w:lang w:val="hu-HU"/>
        </w:rPr>
        <w:t>4</w:t>
      </w:r>
      <w:r w:rsidRPr="009C4B80">
        <w:rPr>
          <w:lang w:val="hu-HU"/>
        </w:rPr>
        <w:t xml:space="preserve"> ECTS x 900,00 RSD = </w:t>
      </w:r>
      <w:r w:rsidR="00E5259B" w:rsidRPr="009C4B80">
        <w:rPr>
          <w:lang w:val="hu-HU"/>
        </w:rPr>
        <w:t>3</w:t>
      </w:r>
      <w:r w:rsidRPr="009C4B80">
        <w:rPr>
          <w:lang w:val="hu-HU"/>
        </w:rPr>
        <w:t>.</w:t>
      </w:r>
      <w:r w:rsidR="00F94456">
        <w:rPr>
          <w:lang w:val="hu-HU"/>
        </w:rPr>
        <w:t>864</w:t>
      </w:r>
      <w:r w:rsidR="006E3B3B" w:rsidRPr="009C4B80">
        <w:rPr>
          <w:lang w:val="hu-HU"/>
        </w:rPr>
        <w:t>,00 RSD). Az összeg felét az i</w:t>
      </w:r>
      <w:r w:rsidRPr="009C4B80">
        <w:rPr>
          <w:lang w:val="hu-HU"/>
        </w:rPr>
        <w:t xml:space="preserve">ratkozás során </w:t>
      </w:r>
      <w:r w:rsidR="0076761C">
        <w:rPr>
          <w:lang w:val="hu-HU"/>
        </w:rPr>
        <w:t>kell befizetni</w:t>
      </w:r>
      <w:r w:rsidRPr="009C4B80">
        <w:rPr>
          <w:lang w:val="hu-HU"/>
        </w:rPr>
        <w:t>. A hátramarad</w:t>
      </w:r>
      <w:r w:rsidR="007A479B" w:rsidRPr="009C4B80">
        <w:rPr>
          <w:lang w:val="hu-HU"/>
        </w:rPr>
        <w:t>t</w:t>
      </w:r>
      <w:r w:rsidRPr="009C4B80">
        <w:rPr>
          <w:lang w:val="hu-HU"/>
        </w:rPr>
        <w:t xml:space="preserve"> összeget </w:t>
      </w:r>
      <w:r w:rsidR="0076761C">
        <w:rPr>
          <w:lang w:val="hu-HU"/>
        </w:rPr>
        <w:t>a téli szemeszter bejegyzéskor</w:t>
      </w:r>
      <w:r w:rsidRPr="009C4B80">
        <w:rPr>
          <w:lang w:val="hu-HU"/>
        </w:rPr>
        <w:t xml:space="preserve"> kell kifizetni.</w:t>
      </w:r>
    </w:p>
    <w:p w:rsidR="00830B07" w:rsidRPr="009C4B80" w:rsidRDefault="00B31E19" w:rsidP="00E5259B">
      <w:pPr>
        <w:spacing w:before="0" w:after="0" w:line="240" w:lineRule="auto"/>
        <w:ind w:firstLine="720"/>
        <w:rPr>
          <w:lang w:val="hu-HU"/>
        </w:rPr>
      </w:pPr>
      <w:r>
        <w:rPr>
          <w:lang w:val="hu-HU"/>
        </w:rPr>
        <w:br w:type="page"/>
      </w:r>
    </w:p>
    <w:p w:rsidR="00BD569C" w:rsidRPr="009C4B80" w:rsidRDefault="0000274D" w:rsidP="00AD3ACE">
      <w:pPr>
        <w:pStyle w:val="Heading2"/>
        <w:rPr>
          <w:lang w:val="hu-HU"/>
        </w:rPr>
      </w:pPr>
      <w:r>
        <w:rPr>
          <w:lang w:val="hu-HU"/>
        </w:rPr>
        <w:lastRenderedPageBreak/>
        <w:t>Az előző</w:t>
      </w:r>
      <w:r w:rsidR="00830B07" w:rsidRPr="009C4B80">
        <w:rPr>
          <w:lang w:val="hu-HU"/>
        </w:rPr>
        <w:t xml:space="preserve"> TANÉVBEN 0 ÉS 36 ECTS KÖZÖTTI pontszámot elért Másodéves hallgatók</w:t>
      </w:r>
    </w:p>
    <w:p w:rsidR="00F9343D" w:rsidRPr="009C4B80" w:rsidRDefault="00F9343D" w:rsidP="00F9343D">
      <w:pPr>
        <w:rPr>
          <w:lang w:val="hu-HU"/>
        </w:rPr>
      </w:pPr>
      <w:r w:rsidRPr="009C4B80">
        <w:rPr>
          <w:lang w:val="hu-HU"/>
        </w:rPr>
        <w:t xml:space="preserve">Azoknak </w:t>
      </w:r>
      <w:proofErr w:type="gramStart"/>
      <w:r w:rsidRPr="009C4B80">
        <w:rPr>
          <w:lang w:val="hu-HU"/>
        </w:rPr>
        <w:t>az</w:t>
      </w:r>
      <w:proofErr w:type="gramEnd"/>
      <w:r w:rsidRPr="009C4B80">
        <w:rPr>
          <w:lang w:val="hu-HU"/>
        </w:rPr>
        <w:t xml:space="preserve"> másodéves hallgatóknak, akik 0 és 36 ECTS közötti pontszámmal fejezték az évet, ismét be kell írniuk azokat az első és másodéves tantárgyakat melyeknek zá</w:t>
      </w:r>
      <w:r w:rsidR="006E3B3B" w:rsidRPr="009C4B80">
        <w:rPr>
          <w:lang w:val="hu-HU"/>
        </w:rPr>
        <w:t>róvizsgáját nem tették le (nem i</w:t>
      </w:r>
      <w:r w:rsidRPr="009C4B80">
        <w:rPr>
          <w:lang w:val="hu-HU"/>
        </w:rPr>
        <w:t>ratkozhatnak be a III. évbe). Az újra</w:t>
      </w:r>
      <w:r w:rsidR="006E3B3B" w:rsidRPr="009C4B80">
        <w:rPr>
          <w:lang w:val="hu-HU"/>
        </w:rPr>
        <w:t>i</w:t>
      </w:r>
      <w:r w:rsidRPr="009C4B80">
        <w:rPr>
          <w:lang w:val="hu-HU"/>
        </w:rPr>
        <w:t xml:space="preserve">ratkozás során </w:t>
      </w:r>
      <w:proofErr w:type="gramStart"/>
      <w:r w:rsidRPr="009C4B80">
        <w:rPr>
          <w:lang w:val="hu-HU"/>
        </w:rPr>
        <w:t>maradnak</w:t>
      </w:r>
      <w:proofErr w:type="gramEnd"/>
      <w:r w:rsidRPr="009C4B80">
        <w:rPr>
          <w:lang w:val="hu-HU"/>
        </w:rPr>
        <w:t xml:space="preserve"> ill. átkerülnek önköltségi beosztásban.</w:t>
      </w:r>
    </w:p>
    <w:p w:rsidR="00F9343D" w:rsidRPr="009C4B80" w:rsidRDefault="00F9343D" w:rsidP="00F9343D">
      <w:pPr>
        <w:rPr>
          <w:lang w:val="hu-HU"/>
        </w:rPr>
      </w:pPr>
      <w:r w:rsidRPr="009C4B80">
        <w:rPr>
          <w:lang w:val="hu-HU"/>
        </w:rPr>
        <w:t>Az első és másodéves kötelező tantárgyakat elengedhetetlen</w:t>
      </w:r>
      <w:r w:rsidR="006E3B3B" w:rsidRPr="009C4B80">
        <w:rPr>
          <w:lang w:val="hu-HU"/>
        </w:rPr>
        <w:t>ü</w:t>
      </w:r>
      <w:r w:rsidRPr="009C4B80">
        <w:rPr>
          <w:lang w:val="hu-HU"/>
        </w:rPr>
        <w:t>l be kell írni. A le nem tisztázott választ</w:t>
      </w:r>
      <w:r w:rsidR="001878CF" w:rsidRPr="009C4B80">
        <w:rPr>
          <w:lang w:val="hu-HU"/>
        </w:rPr>
        <w:t>ható</w:t>
      </w:r>
      <w:r w:rsidRPr="009C4B80">
        <w:rPr>
          <w:lang w:val="hu-HU"/>
        </w:rPr>
        <w:t xml:space="preserve"> tantárgyakat ismét be lehet jelenteni, illetve azok helyett újat választhat a hallgató (a választás feltétele, hogy az ECTS </w:t>
      </w:r>
      <w:proofErr w:type="spellStart"/>
      <w:r w:rsidRPr="009C4B80">
        <w:rPr>
          <w:lang w:val="hu-HU"/>
        </w:rPr>
        <w:t>összpontszám</w:t>
      </w:r>
      <w:proofErr w:type="spellEnd"/>
      <w:r w:rsidRPr="009C4B80">
        <w:rPr>
          <w:lang w:val="hu-HU"/>
        </w:rPr>
        <w:t xml:space="preserve"> összhangban legyen a szakirány követelményeivel).</w:t>
      </w:r>
    </w:p>
    <w:p w:rsidR="00F9343D" w:rsidRPr="009C4B80" w:rsidRDefault="00F9343D" w:rsidP="00F9343D">
      <w:pPr>
        <w:rPr>
          <w:lang w:val="hu-HU"/>
        </w:rPr>
      </w:pPr>
      <w:r w:rsidRPr="009C4B80">
        <w:rPr>
          <w:lang w:val="hu-HU"/>
        </w:rPr>
        <w:t xml:space="preserve">Az ismét bejelentett tantárgyak előadásait újra kell hallgatni. Amennyiben a tantervben két előadás fedi egymást, a hallgató kötelességét a tantárgyfelelős tanárral egyezteti. </w:t>
      </w:r>
    </w:p>
    <w:p w:rsidR="0000274D" w:rsidRPr="0000274D" w:rsidRDefault="0000274D" w:rsidP="0000274D">
      <w:pPr>
        <w:rPr>
          <w:lang w:val="hu-HU"/>
        </w:rPr>
      </w:pPr>
      <w:r w:rsidRPr="0000274D">
        <w:rPr>
          <w:lang w:val="hu-HU"/>
        </w:rPr>
        <w:t>Az iratkozás</w:t>
      </w:r>
      <w:r>
        <w:rPr>
          <w:lang w:val="hu-HU"/>
        </w:rPr>
        <w:t xml:space="preserve"> valamint a tandíj</w:t>
      </w:r>
      <w:r w:rsidRPr="0000274D">
        <w:rPr>
          <w:lang w:val="hu-HU"/>
        </w:rPr>
        <w:t xml:space="preserve"> költségeit a k</w:t>
      </w:r>
      <w:r>
        <w:rPr>
          <w:lang w:val="hu-HU"/>
        </w:rPr>
        <w:t>övetkező folyószámlaszámra szükséges</w:t>
      </w:r>
      <w:r w:rsidRPr="0000274D">
        <w:rPr>
          <w:lang w:val="hu-HU"/>
        </w:rPr>
        <w:t xml:space="preserve"> befizetni: </w:t>
      </w:r>
      <w:r w:rsidRPr="0000274D">
        <w:rPr>
          <w:bCs/>
          <w:lang w:val="hu-HU"/>
        </w:rPr>
        <w:t>840-526666-66</w:t>
      </w:r>
      <w:r>
        <w:rPr>
          <w:bCs/>
          <w:lang w:val="hu-HU"/>
        </w:rPr>
        <w:t xml:space="preserve">, követve az </w:t>
      </w:r>
      <w:proofErr w:type="spellStart"/>
      <w:r>
        <w:rPr>
          <w:bCs/>
          <w:lang w:val="hu-HU"/>
        </w:rPr>
        <w:t>EREF-en</w:t>
      </w:r>
      <w:proofErr w:type="spellEnd"/>
      <w:r>
        <w:rPr>
          <w:bCs/>
          <w:lang w:val="hu-HU"/>
        </w:rPr>
        <w:t xml:space="preserve"> található utasítást a </w:t>
      </w:r>
      <w:r>
        <w:rPr>
          <w:lang w:val="sr-Latn-CS"/>
        </w:rPr>
        <w:t xml:space="preserve">„Troškovi upisnine i školarine“ </w:t>
      </w:r>
      <w:proofErr w:type="spellStart"/>
      <w:r>
        <w:rPr>
          <w:lang w:val="sr-Latn-CS"/>
        </w:rPr>
        <w:t>alatt</w:t>
      </w:r>
      <w:proofErr w:type="spellEnd"/>
      <w:r>
        <w:rPr>
          <w:lang w:val="sr-Latn-CS"/>
        </w:rPr>
        <w:t>.</w:t>
      </w:r>
    </w:p>
    <w:p w:rsidR="00F9343D" w:rsidRPr="009C4B80" w:rsidRDefault="006E3B3B" w:rsidP="00F9343D">
      <w:pPr>
        <w:numPr>
          <w:ilvl w:val="0"/>
          <w:numId w:val="17"/>
        </w:numPr>
        <w:spacing w:before="0" w:after="0" w:line="240" w:lineRule="auto"/>
        <w:rPr>
          <w:lang w:val="hu-HU"/>
        </w:rPr>
      </w:pPr>
      <w:r w:rsidRPr="009C4B80">
        <w:rPr>
          <w:lang w:val="hu-HU"/>
        </w:rPr>
        <w:t>Az i</w:t>
      </w:r>
      <w:r w:rsidR="00F9343D" w:rsidRPr="009C4B80">
        <w:rPr>
          <w:lang w:val="hu-HU"/>
        </w:rPr>
        <w:t xml:space="preserve">ratkozási költsége </w:t>
      </w:r>
      <w:r w:rsidR="005420F9">
        <w:rPr>
          <w:lang w:val="hu-HU"/>
        </w:rPr>
        <w:t>8</w:t>
      </w:r>
      <w:r w:rsidR="00F9343D" w:rsidRPr="009C4B80">
        <w:rPr>
          <w:lang w:val="hu-HU"/>
        </w:rPr>
        <w:t>.</w:t>
      </w:r>
      <w:r w:rsidR="00E3681C">
        <w:rPr>
          <w:lang w:val="hu-HU"/>
        </w:rPr>
        <w:t>5</w:t>
      </w:r>
      <w:r w:rsidR="00F9343D" w:rsidRPr="009C4B80">
        <w:rPr>
          <w:lang w:val="hu-HU"/>
        </w:rPr>
        <w:t xml:space="preserve">00.00 dinár. </w:t>
      </w:r>
    </w:p>
    <w:p w:rsidR="00F9343D" w:rsidRPr="009C4B80" w:rsidRDefault="006E3B3B" w:rsidP="00F9343D">
      <w:pPr>
        <w:numPr>
          <w:ilvl w:val="0"/>
          <w:numId w:val="17"/>
        </w:numPr>
        <w:spacing w:before="0" w:after="0" w:line="240" w:lineRule="auto"/>
        <w:rPr>
          <w:lang w:val="hu-HU"/>
        </w:rPr>
      </w:pPr>
      <w:r w:rsidRPr="009C4B80">
        <w:rPr>
          <w:lang w:val="hu-HU"/>
        </w:rPr>
        <w:t>A tandíj</w:t>
      </w:r>
      <w:r w:rsidRPr="009C4B80">
        <w:rPr>
          <w:lang w:val="hu-HU"/>
        </w:rPr>
        <w:br/>
        <w:t>A hallga</w:t>
      </w:r>
      <w:r w:rsidR="00F9343D" w:rsidRPr="009C4B80">
        <w:rPr>
          <w:lang w:val="hu-HU"/>
        </w:rPr>
        <w:t xml:space="preserve">tó annyi ECTS pontszámnak megfelelő összeget fizet be, amennyit újra bejelentett </w:t>
      </w:r>
    </w:p>
    <w:p w:rsidR="00F9343D" w:rsidRPr="009C4B80" w:rsidRDefault="0000274D" w:rsidP="00F9343D">
      <w:pPr>
        <w:spacing w:before="0" w:after="0" w:line="240" w:lineRule="auto"/>
        <w:ind w:left="720"/>
        <w:rPr>
          <w:lang w:val="hu-HU"/>
        </w:rPr>
      </w:pPr>
      <w:r>
        <w:rPr>
          <w:lang w:val="hu-HU"/>
        </w:rPr>
        <w:t>1 ECTS = 833</w:t>
      </w:r>
      <w:r w:rsidR="00F9343D" w:rsidRPr="009C4B80">
        <w:rPr>
          <w:lang w:val="hu-HU"/>
        </w:rPr>
        <w:t>,00 RSD (ha egy részletben fizetik az összeget)</w:t>
      </w:r>
    </w:p>
    <w:p w:rsidR="00F9343D" w:rsidRPr="009C4B80" w:rsidRDefault="00F9343D" w:rsidP="00F9343D">
      <w:pPr>
        <w:spacing w:before="0" w:after="0" w:line="240" w:lineRule="auto"/>
        <w:ind w:left="720"/>
        <w:rPr>
          <w:lang w:val="hu-HU"/>
        </w:rPr>
      </w:pPr>
      <w:r w:rsidRPr="009C4B80">
        <w:rPr>
          <w:lang w:val="hu-HU"/>
        </w:rPr>
        <w:t>1 ECTS = 9</w:t>
      </w:r>
      <w:r w:rsidR="00F94456">
        <w:rPr>
          <w:lang w:val="hu-HU"/>
        </w:rPr>
        <w:t>66</w:t>
      </w:r>
      <w:r w:rsidRPr="009C4B80">
        <w:rPr>
          <w:lang w:val="hu-HU"/>
        </w:rPr>
        <w:t>,00 RSD (ha két részletben fizetik az összeget)</w:t>
      </w:r>
    </w:p>
    <w:p w:rsidR="00C7395F" w:rsidRPr="009C4B80" w:rsidRDefault="00C7395F" w:rsidP="00AD3ACE">
      <w:pPr>
        <w:rPr>
          <w:lang w:val="hu-HU"/>
        </w:rPr>
      </w:pPr>
    </w:p>
    <w:p w:rsidR="00F9343D" w:rsidRPr="009C4B80" w:rsidRDefault="00F9343D" w:rsidP="00AD3ACE">
      <w:pPr>
        <w:rPr>
          <w:lang w:val="hu-HU"/>
        </w:rPr>
      </w:pPr>
    </w:p>
    <w:p w:rsidR="00F9343D" w:rsidRPr="009C4B80" w:rsidRDefault="00F9343D" w:rsidP="00AD3ACE">
      <w:pPr>
        <w:rPr>
          <w:lang w:val="hu-HU"/>
        </w:rPr>
      </w:pPr>
    </w:p>
    <w:p w:rsidR="006E3B3B" w:rsidRPr="009C4B80" w:rsidRDefault="006E3B3B" w:rsidP="00AD3ACE">
      <w:pPr>
        <w:rPr>
          <w:lang w:val="hu-HU"/>
        </w:rPr>
      </w:pPr>
    </w:p>
    <w:p w:rsidR="00F9343D" w:rsidRPr="009C4B80" w:rsidRDefault="00B31E19" w:rsidP="00AD3ACE">
      <w:pPr>
        <w:rPr>
          <w:lang w:val="hu-HU"/>
        </w:rPr>
      </w:pPr>
      <w:r>
        <w:rPr>
          <w:lang w:val="hu-HU"/>
        </w:rPr>
        <w:br w:type="page"/>
      </w:r>
    </w:p>
    <w:p w:rsidR="00EE342F" w:rsidRPr="009C4B80" w:rsidRDefault="00F50338" w:rsidP="00AD3ACE">
      <w:pPr>
        <w:pStyle w:val="Heading2"/>
        <w:rPr>
          <w:lang w:val="hu-HU"/>
        </w:rPr>
      </w:pPr>
      <w:r>
        <w:rPr>
          <w:lang w:val="hu-HU"/>
        </w:rPr>
        <w:lastRenderedPageBreak/>
        <w:t>Az előző</w:t>
      </w:r>
      <w:r w:rsidR="00F9343D" w:rsidRPr="009C4B80">
        <w:rPr>
          <w:lang w:val="hu-HU"/>
        </w:rPr>
        <w:t xml:space="preserve"> TANÉVBEN 37 ÉS 4</w:t>
      </w:r>
      <w:r w:rsidR="00AA50C0">
        <w:rPr>
          <w:lang w:val="hu-HU"/>
        </w:rPr>
        <w:t>7</w:t>
      </w:r>
      <w:r w:rsidR="00F9343D" w:rsidRPr="009C4B80">
        <w:rPr>
          <w:lang w:val="hu-HU"/>
        </w:rPr>
        <w:t xml:space="preserve"> ECTS KÖZÖTTI pontszámot elért másodéves hallgatók</w:t>
      </w:r>
    </w:p>
    <w:p w:rsidR="00F9343D" w:rsidRPr="009C4B80" w:rsidRDefault="00F9343D" w:rsidP="00F9343D">
      <w:pPr>
        <w:rPr>
          <w:lang w:val="hu-HU"/>
        </w:rPr>
      </w:pPr>
      <w:r w:rsidRPr="009C4B80">
        <w:rPr>
          <w:lang w:val="hu-HU"/>
        </w:rPr>
        <w:t>Azok a másodéves hallgatók, akik 37 és 4</w:t>
      </w:r>
      <w:r w:rsidR="00AA50C0">
        <w:rPr>
          <w:lang w:val="hu-HU"/>
        </w:rPr>
        <w:t>7</w:t>
      </w:r>
      <w:r w:rsidRPr="009C4B80">
        <w:rPr>
          <w:lang w:val="hu-HU"/>
        </w:rPr>
        <w:t xml:space="preserve"> ECTS közötti pontszámmal fejezték az évet, </w:t>
      </w:r>
      <w:proofErr w:type="gramStart"/>
      <w:r w:rsidRPr="009C4B80">
        <w:rPr>
          <w:lang w:val="hu-HU"/>
        </w:rPr>
        <w:t>maradnak</w:t>
      </w:r>
      <w:proofErr w:type="gramEnd"/>
      <w:r w:rsidRPr="009C4B80">
        <w:rPr>
          <w:lang w:val="hu-HU"/>
        </w:rPr>
        <w:t xml:space="preserve"> ill. átkerülnek önköltségi beosztásban. A hallgatóknak ismét be kell írniuk azokat az első és másodéves tantárgyakat melyeknek záróvizsgáját nem tették le, illetve annyi tantárgyat a harmadik évről, hogy a beírt tantárgyak </w:t>
      </w:r>
      <w:proofErr w:type="spellStart"/>
      <w:r w:rsidRPr="009C4B80">
        <w:rPr>
          <w:lang w:val="hu-HU"/>
        </w:rPr>
        <w:t>összpontszáma</w:t>
      </w:r>
      <w:proofErr w:type="spellEnd"/>
      <w:r w:rsidRPr="009C4B80">
        <w:rPr>
          <w:lang w:val="hu-HU"/>
        </w:rPr>
        <w:t xml:space="preserve"> legalább 60 ECTS legyen. </w:t>
      </w:r>
    </w:p>
    <w:p w:rsidR="00F9343D" w:rsidRPr="009C4B80" w:rsidRDefault="00F9343D" w:rsidP="00F9343D">
      <w:pPr>
        <w:rPr>
          <w:lang w:val="hu-HU"/>
        </w:rPr>
      </w:pPr>
      <w:r w:rsidRPr="009C4B80">
        <w:rPr>
          <w:lang w:val="hu-HU"/>
        </w:rPr>
        <w:t>PÉL</w:t>
      </w:r>
      <w:r w:rsidR="00AF66BE">
        <w:rPr>
          <w:lang w:val="hu-HU"/>
        </w:rPr>
        <w:t>DA: Amennyiben a hallgató az előző tanév</w:t>
      </w:r>
      <w:r w:rsidRPr="009C4B80">
        <w:rPr>
          <w:lang w:val="hu-HU"/>
        </w:rPr>
        <w:t xml:space="preserve"> tanévben 3</w:t>
      </w:r>
      <w:r w:rsidR="009C4B80">
        <w:rPr>
          <w:lang w:val="hu-HU"/>
        </w:rPr>
        <w:t>9 ECTS pont</w:t>
      </w:r>
      <w:r w:rsidR="0076761C">
        <w:rPr>
          <w:lang w:val="hu-HU"/>
        </w:rPr>
        <w:t>számot ért el, a</w:t>
      </w:r>
      <w:r w:rsidR="00AF66BE">
        <w:rPr>
          <w:lang w:val="hu-HU"/>
        </w:rPr>
        <w:t>zt megelőzően pedig</w:t>
      </w:r>
      <w:r w:rsidRPr="009C4B80">
        <w:rPr>
          <w:lang w:val="hu-HU"/>
        </w:rPr>
        <w:t xml:space="preserve"> 46 ECTS pontszámot, vagyis összesen 85 ECTS pontszámmal rendelkezik, akkor az első és második évről 35 ECTS pontszám értékben jelent be </w:t>
      </w:r>
      <w:proofErr w:type="spellStart"/>
      <w:r w:rsidRPr="009C4B80">
        <w:rPr>
          <w:lang w:val="hu-HU"/>
        </w:rPr>
        <w:t>tantágyat</w:t>
      </w:r>
      <w:proofErr w:type="spellEnd"/>
      <w:r w:rsidRPr="009C4B80">
        <w:rPr>
          <w:lang w:val="hu-HU"/>
        </w:rPr>
        <w:t xml:space="preserve"> (120 – </w:t>
      </w:r>
      <w:r w:rsidR="002B0D4D" w:rsidRPr="009C4B80">
        <w:rPr>
          <w:lang w:val="hu-HU"/>
        </w:rPr>
        <w:t>85</w:t>
      </w:r>
      <w:r w:rsidRPr="009C4B80">
        <w:rPr>
          <w:lang w:val="hu-HU"/>
        </w:rPr>
        <w:t xml:space="preserve"> </w:t>
      </w:r>
      <w:r w:rsidR="002B0D4D" w:rsidRPr="009C4B80">
        <w:rPr>
          <w:lang w:val="hu-HU"/>
        </w:rPr>
        <w:t>= 35</w:t>
      </w:r>
      <w:r w:rsidRPr="009C4B80">
        <w:rPr>
          <w:lang w:val="hu-HU"/>
        </w:rPr>
        <w:t xml:space="preserve"> ECTS), míg a </w:t>
      </w:r>
      <w:r w:rsidR="002B0D4D" w:rsidRPr="009C4B80">
        <w:rPr>
          <w:lang w:val="hu-HU"/>
        </w:rPr>
        <w:t>harmadik évről 25</w:t>
      </w:r>
      <w:r w:rsidRPr="009C4B80">
        <w:rPr>
          <w:lang w:val="hu-HU"/>
        </w:rPr>
        <w:t xml:space="preserve"> ECTS pontszám értékben (</w:t>
      </w:r>
      <w:r w:rsidR="002B0D4D" w:rsidRPr="009C4B80">
        <w:rPr>
          <w:lang w:val="hu-HU"/>
        </w:rPr>
        <w:t>35</w:t>
      </w:r>
      <w:r w:rsidRPr="009C4B80">
        <w:rPr>
          <w:lang w:val="hu-HU"/>
        </w:rPr>
        <w:t xml:space="preserve"> + </w:t>
      </w:r>
      <w:r w:rsidR="002B0D4D" w:rsidRPr="009C4B80">
        <w:rPr>
          <w:lang w:val="hu-HU"/>
        </w:rPr>
        <w:t>25</w:t>
      </w:r>
      <w:r w:rsidRPr="009C4B80">
        <w:rPr>
          <w:lang w:val="hu-HU"/>
        </w:rPr>
        <w:t xml:space="preserve"> = 60 ECTS).</w:t>
      </w:r>
    </w:p>
    <w:p w:rsidR="00F9343D" w:rsidRPr="009C4B80" w:rsidRDefault="00F9343D" w:rsidP="00F9343D">
      <w:pPr>
        <w:rPr>
          <w:lang w:val="hu-HU"/>
        </w:rPr>
      </w:pPr>
      <w:r w:rsidRPr="009C4B80">
        <w:rPr>
          <w:lang w:val="hu-HU"/>
        </w:rPr>
        <w:t>Az első</w:t>
      </w:r>
      <w:r w:rsidR="008530F3" w:rsidRPr="009C4B80">
        <w:rPr>
          <w:lang w:val="hu-HU"/>
        </w:rPr>
        <w:t xml:space="preserve"> és másod</w:t>
      </w:r>
      <w:r w:rsidRPr="009C4B80">
        <w:rPr>
          <w:lang w:val="hu-HU"/>
        </w:rPr>
        <w:t>éves kötelező tantárgyakat, melyeknek záróvizsgáját a hallgató nem tette le, elengedhetetlen</w:t>
      </w:r>
      <w:r w:rsidR="006E3B3B" w:rsidRPr="009C4B80">
        <w:rPr>
          <w:lang w:val="hu-HU"/>
        </w:rPr>
        <w:t>ü</w:t>
      </w:r>
      <w:r w:rsidRPr="009C4B80">
        <w:rPr>
          <w:lang w:val="hu-HU"/>
        </w:rPr>
        <w:t xml:space="preserve">l be kell </w:t>
      </w:r>
      <w:r w:rsidR="008530F3" w:rsidRPr="009C4B80">
        <w:rPr>
          <w:lang w:val="hu-HU"/>
        </w:rPr>
        <w:t>jelenteni</w:t>
      </w:r>
      <w:r w:rsidRPr="009C4B80">
        <w:rPr>
          <w:lang w:val="hu-HU"/>
        </w:rPr>
        <w:t>. A le nem tisztázott választ</w:t>
      </w:r>
      <w:r w:rsidR="001878CF" w:rsidRPr="009C4B80">
        <w:rPr>
          <w:lang w:val="hu-HU"/>
        </w:rPr>
        <w:t>ható</w:t>
      </w:r>
      <w:r w:rsidRPr="009C4B80">
        <w:rPr>
          <w:lang w:val="hu-HU"/>
        </w:rPr>
        <w:t xml:space="preserve"> tantárgyakat ismét be lehet jelenteni, illetve azok helyett újat választhat a hallgató (</w:t>
      </w:r>
      <w:r w:rsidR="008530F3" w:rsidRPr="009C4B80">
        <w:rPr>
          <w:lang w:val="hu-HU"/>
        </w:rPr>
        <w:t xml:space="preserve">a választás feltétele, hogy az ECTS </w:t>
      </w:r>
      <w:proofErr w:type="spellStart"/>
      <w:r w:rsidR="008530F3" w:rsidRPr="009C4B80">
        <w:rPr>
          <w:lang w:val="hu-HU"/>
        </w:rPr>
        <w:t>összpontszám</w:t>
      </w:r>
      <w:proofErr w:type="spellEnd"/>
      <w:r w:rsidR="008530F3" w:rsidRPr="009C4B80">
        <w:rPr>
          <w:lang w:val="hu-HU"/>
        </w:rPr>
        <w:t xml:space="preserve"> összhangban legyen a szakirány követelményeivel</w:t>
      </w:r>
      <w:r w:rsidRPr="009C4B80">
        <w:rPr>
          <w:lang w:val="hu-HU"/>
        </w:rPr>
        <w:t>).</w:t>
      </w:r>
    </w:p>
    <w:p w:rsidR="00F9343D" w:rsidRPr="009C4B80" w:rsidRDefault="00F9343D" w:rsidP="00F9343D">
      <w:pPr>
        <w:rPr>
          <w:lang w:val="hu-HU"/>
        </w:rPr>
      </w:pPr>
      <w:r w:rsidRPr="009C4B80">
        <w:rPr>
          <w:lang w:val="hu-HU"/>
        </w:rPr>
        <w:t xml:space="preserve">A </w:t>
      </w:r>
      <w:r w:rsidR="008530F3" w:rsidRPr="009C4B80">
        <w:rPr>
          <w:lang w:val="hu-HU"/>
        </w:rPr>
        <w:t>harmadik</w:t>
      </w:r>
      <w:r w:rsidRPr="009C4B80">
        <w:rPr>
          <w:lang w:val="hu-HU"/>
        </w:rPr>
        <w:t xml:space="preserve"> évről a hallgató elsősorban a kötelező tantárgyakat írja be.</w:t>
      </w:r>
    </w:p>
    <w:p w:rsidR="00F9343D" w:rsidRPr="009C4B80" w:rsidRDefault="00F9343D" w:rsidP="00F9343D">
      <w:pPr>
        <w:rPr>
          <w:lang w:val="hu-HU"/>
        </w:rPr>
      </w:pPr>
      <w:r w:rsidRPr="009C4B80">
        <w:rPr>
          <w:lang w:val="hu-HU"/>
        </w:rPr>
        <w:t>Az ismét bejelentett tantárgyak előadásait újra kell hallgatni. Amennyiben a tantervben két előadás fedi egymást, a hallgató kötelességét a tantárgyfelelős tanárral egyezteti.</w:t>
      </w:r>
    </w:p>
    <w:p w:rsidR="0000274D" w:rsidRPr="0000274D" w:rsidRDefault="0000274D" w:rsidP="0000274D">
      <w:pPr>
        <w:rPr>
          <w:lang w:val="hu-HU"/>
        </w:rPr>
      </w:pPr>
      <w:r w:rsidRPr="0000274D">
        <w:rPr>
          <w:lang w:val="hu-HU"/>
        </w:rPr>
        <w:t>Az iratkozás</w:t>
      </w:r>
      <w:r>
        <w:rPr>
          <w:lang w:val="hu-HU"/>
        </w:rPr>
        <w:t xml:space="preserve"> valamint a tandíj</w:t>
      </w:r>
      <w:r w:rsidRPr="0000274D">
        <w:rPr>
          <w:lang w:val="hu-HU"/>
        </w:rPr>
        <w:t xml:space="preserve"> költségeit a k</w:t>
      </w:r>
      <w:r>
        <w:rPr>
          <w:lang w:val="hu-HU"/>
        </w:rPr>
        <w:t>övetkező folyószámlaszámra szükséges</w:t>
      </w:r>
      <w:r w:rsidRPr="0000274D">
        <w:rPr>
          <w:lang w:val="hu-HU"/>
        </w:rPr>
        <w:t xml:space="preserve"> befizetni: </w:t>
      </w:r>
      <w:r w:rsidRPr="0000274D">
        <w:rPr>
          <w:bCs/>
          <w:lang w:val="hu-HU"/>
        </w:rPr>
        <w:t>840-526666-66</w:t>
      </w:r>
      <w:r>
        <w:rPr>
          <w:bCs/>
          <w:lang w:val="hu-HU"/>
        </w:rPr>
        <w:t xml:space="preserve">, követve az </w:t>
      </w:r>
      <w:proofErr w:type="spellStart"/>
      <w:r>
        <w:rPr>
          <w:bCs/>
          <w:lang w:val="hu-HU"/>
        </w:rPr>
        <w:t>EREF-en</w:t>
      </w:r>
      <w:proofErr w:type="spellEnd"/>
      <w:r>
        <w:rPr>
          <w:bCs/>
          <w:lang w:val="hu-HU"/>
        </w:rPr>
        <w:t xml:space="preserve"> található utasítást a </w:t>
      </w:r>
      <w:r>
        <w:rPr>
          <w:lang w:val="sr-Latn-CS"/>
        </w:rPr>
        <w:t xml:space="preserve">„Troškovi upisnine i školarine“ </w:t>
      </w:r>
      <w:proofErr w:type="spellStart"/>
      <w:r>
        <w:rPr>
          <w:lang w:val="sr-Latn-CS"/>
        </w:rPr>
        <w:t>alatt</w:t>
      </w:r>
      <w:proofErr w:type="spellEnd"/>
      <w:r>
        <w:rPr>
          <w:lang w:val="sr-Latn-CS"/>
        </w:rPr>
        <w:t>.</w:t>
      </w:r>
    </w:p>
    <w:p w:rsidR="00F9343D" w:rsidRPr="009C4B80" w:rsidRDefault="006E3B3B" w:rsidP="0000274D">
      <w:pPr>
        <w:numPr>
          <w:ilvl w:val="0"/>
          <w:numId w:val="21"/>
        </w:numPr>
        <w:spacing w:before="0" w:after="0" w:line="240" w:lineRule="auto"/>
        <w:rPr>
          <w:lang w:val="hu-HU"/>
        </w:rPr>
      </w:pPr>
      <w:r w:rsidRPr="009C4B80">
        <w:rPr>
          <w:lang w:val="hu-HU"/>
        </w:rPr>
        <w:t>Az i</w:t>
      </w:r>
      <w:r w:rsidR="005420F9">
        <w:rPr>
          <w:lang w:val="hu-HU"/>
        </w:rPr>
        <w:t>ratkozási költsége 8</w:t>
      </w:r>
      <w:r w:rsidR="00F9343D" w:rsidRPr="009C4B80">
        <w:rPr>
          <w:lang w:val="hu-HU"/>
        </w:rPr>
        <w:t>.</w:t>
      </w:r>
      <w:r w:rsidR="00E3681C">
        <w:rPr>
          <w:lang w:val="hu-HU"/>
        </w:rPr>
        <w:t>5</w:t>
      </w:r>
      <w:r w:rsidR="00F9343D" w:rsidRPr="009C4B80">
        <w:rPr>
          <w:lang w:val="hu-HU"/>
        </w:rPr>
        <w:t xml:space="preserve">00.00 dinár. </w:t>
      </w:r>
    </w:p>
    <w:p w:rsidR="00F9343D" w:rsidRPr="009C4B80" w:rsidRDefault="00F9343D" w:rsidP="0000274D">
      <w:pPr>
        <w:numPr>
          <w:ilvl w:val="0"/>
          <w:numId w:val="21"/>
        </w:numPr>
        <w:spacing w:before="0" w:after="0" w:line="240" w:lineRule="auto"/>
        <w:rPr>
          <w:lang w:val="hu-HU"/>
        </w:rPr>
      </w:pPr>
      <w:r w:rsidRPr="009C4B80">
        <w:rPr>
          <w:lang w:val="hu-HU"/>
        </w:rPr>
        <w:t>A tandíj</w:t>
      </w:r>
    </w:p>
    <w:p w:rsidR="00F9343D" w:rsidRPr="009C4B80" w:rsidRDefault="00F9343D" w:rsidP="00F9343D">
      <w:pPr>
        <w:numPr>
          <w:ilvl w:val="1"/>
          <w:numId w:val="3"/>
        </w:numPr>
        <w:spacing w:before="0" w:after="0" w:line="240" w:lineRule="auto"/>
        <w:rPr>
          <w:lang w:val="hu-HU"/>
        </w:rPr>
      </w:pPr>
      <w:r w:rsidRPr="009C4B80">
        <w:rPr>
          <w:lang w:val="hu-HU"/>
        </w:rPr>
        <w:t>50.000.00 dinár (amennyibe</w:t>
      </w:r>
      <w:r w:rsidR="006E3B3B" w:rsidRPr="009C4B80">
        <w:rPr>
          <w:lang w:val="hu-HU"/>
        </w:rPr>
        <w:t>n egy részletben fizeti a hallga</w:t>
      </w:r>
      <w:r w:rsidRPr="009C4B80">
        <w:rPr>
          <w:lang w:val="hu-HU"/>
        </w:rPr>
        <w:t>tó az iskolaév beírásakor)</w:t>
      </w:r>
    </w:p>
    <w:p w:rsidR="00F9343D" w:rsidRPr="009C4B80" w:rsidRDefault="00F9343D" w:rsidP="00F9343D">
      <w:pPr>
        <w:numPr>
          <w:ilvl w:val="1"/>
          <w:numId w:val="3"/>
        </w:numPr>
        <w:spacing w:before="0" w:after="0" w:line="240" w:lineRule="auto"/>
        <w:rPr>
          <w:lang w:val="hu-HU"/>
        </w:rPr>
      </w:pPr>
      <w:r w:rsidRPr="009C4B80">
        <w:rPr>
          <w:lang w:val="hu-HU"/>
        </w:rPr>
        <w:t>5</w:t>
      </w:r>
      <w:r w:rsidR="00F94456">
        <w:rPr>
          <w:lang w:val="hu-HU"/>
        </w:rPr>
        <w:t>8</w:t>
      </w:r>
      <w:r w:rsidRPr="009C4B80">
        <w:rPr>
          <w:lang w:val="hu-HU"/>
        </w:rPr>
        <w:t xml:space="preserve">.000.00 dinár (amennyibe két részletben fizeti a hallgató; az iskolaév beírásakor az első részletet, és a téli szemeszter </w:t>
      </w:r>
      <w:proofErr w:type="spellStart"/>
      <w:r w:rsidRPr="009C4B80">
        <w:rPr>
          <w:lang w:val="hu-HU"/>
        </w:rPr>
        <w:t>beje</w:t>
      </w:r>
      <w:r w:rsidR="0076761C">
        <w:rPr>
          <w:lang w:val="hu-HU"/>
        </w:rPr>
        <w:t>gyzésekór</w:t>
      </w:r>
      <w:proofErr w:type="spellEnd"/>
      <w:r w:rsidRPr="009C4B80">
        <w:rPr>
          <w:lang w:val="hu-HU"/>
        </w:rPr>
        <w:t xml:space="preserve"> a második részletet)</w:t>
      </w:r>
    </w:p>
    <w:p w:rsidR="008530F3" w:rsidRPr="009C4B80" w:rsidRDefault="008530F3" w:rsidP="009907D1">
      <w:pPr>
        <w:spacing w:before="0" w:after="0" w:line="240" w:lineRule="auto"/>
        <w:rPr>
          <w:lang w:val="hu-HU"/>
        </w:rPr>
      </w:pPr>
    </w:p>
    <w:p w:rsidR="008530F3" w:rsidRPr="009C4B80" w:rsidRDefault="008530F3" w:rsidP="009907D1">
      <w:pPr>
        <w:spacing w:before="0" w:after="0" w:line="240" w:lineRule="auto"/>
        <w:rPr>
          <w:lang w:val="hu-HU"/>
        </w:rPr>
      </w:pPr>
    </w:p>
    <w:p w:rsidR="008530F3" w:rsidRPr="009C4B80" w:rsidRDefault="008530F3" w:rsidP="009907D1">
      <w:pPr>
        <w:spacing w:before="0" w:after="0" w:line="240" w:lineRule="auto"/>
        <w:rPr>
          <w:lang w:val="hu-HU"/>
        </w:rPr>
      </w:pPr>
    </w:p>
    <w:p w:rsidR="008530F3" w:rsidRPr="009C4B80" w:rsidRDefault="00B31E19" w:rsidP="009907D1">
      <w:pPr>
        <w:spacing w:before="0" w:after="0" w:line="240" w:lineRule="auto"/>
        <w:rPr>
          <w:lang w:val="hu-HU"/>
        </w:rPr>
      </w:pPr>
      <w:r>
        <w:rPr>
          <w:lang w:val="hu-HU"/>
        </w:rPr>
        <w:br w:type="page"/>
      </w:r>
    </w:p>
    <w:p w:rsidR="00A91E1E" w:rsidRPr="009C4B80" w:rsidRDefault="00F50338" w:rsidP="00AD3ACE">
      <w:pPr>
        <w:pStyle w:val="Heading2"/>
        <w:rPr>
          <w:lang w:val="hu-HU"/>
        </w:rPr>
      </w:pPr>
      <w:r>
        <w:rPr>
          <w:lang w:val="hu-HU"/>
        </w:rPr>
        <w:lastRenderedPageBreak/>
        <w:t>Az előző</w:t>
      </w:r>
      <w:r w:rsidR="008530F3" w:rsidRPr="009C4B80">
        <w:rPr>
          <w:lang w:val="hu-HU"/>
        </w:rPr>
        <w:t xml:space="preserve"> TANÉVBEN </w:t>
      </w:r>
      <w:r w:rsidR="00AA50C0">
        <w:rPr>
          <w:lang w:val="hu-HU"/>
        </w:rPr>
        <w:t>48</w:t>
      </w:r>
      <w:r w:rsidR="008530F3" w:rsidRPr="009C4B80">
        <w:rPr>
          <w:lang w:val="hu-HU"/>
        </w:rPr>
        <w:t xml:space="preserve"> ÉS 60 ECTS KÖZÖTTI pontszámot elért másodéves hallgatók</w:t>
      </w:r>
    </w:p>
    <w:p w:rsidR="008530F3" w:rsidRPr="009C4B80" w:rsidRDefault="008530F3" w:rsidP="00AD3ACE">
      <w:pPr>
        <w:spacing w:before="0" w:after="0"/>
        <w:rPr>
          <w:lang w:val="hu-HU"/>
        </w:rPr>
      </w:pPr>
    </w:p>
    <w:p w:rsidR="008530F3" w:rsidRPr="009C4B80" w:rsidRDefault="008530F3" w:rsidP="008530F3">
      <w:pPr>
        <w:spacing w:before="0" w:after="0"/>
        <w:rPr>
          <w:lang w:val="hu-HU"/>
        </w:rPr>
      </w:pPr>
      <w:r w:rsidRPr="009C4B80">
        <w:rPr>
          <w:lang w:val="hu-HU"/>
        </w:rPr>
        <w:t xml:space="preserve">Azok </w:t>
      </w:r>
      <w:proofErr w:type="gramStart"/>
      <w:r w:rsidRPr="009C4B80">
        <w:rPr>
          <w:lang w:val="hu-HU"/>
        </w:rPr>
        <w:t>az</w:t>
      </w:r>
      <w:proofErr w:type="gramEnd"/>
      <w:r w:rsidR="0076761C">
        <w:rPr>
          <w:lang w:val="hu-HU"/>
        </w:rPr>
        <w:t xml:space="preserve"> másodéves hallgatók, akik </w:t>
      </w:r>
      <w:r w:rsidR="00AA50C0">
        <w:rPr>
          <w:lang w:val="hu-HU"/>
        </w:rPr>
        <w:t>48</w:t>
      </w:r>
      <w:r w:rsidRPr="009C4B80">
        <w:rPr>
          <w:lang w:val="hu-HU"/>
        </w:rPr>
        <w:t xml:space="preserve"> és 60 ECTS közötti pontszámmal fejezték az évet, beírhatják a harmadik tanévet és maradnak ill. átkerülnek államköltségi beosztásban (az állam fizeti a tandíjat). Azoknak a másodéves hallgatóknak, akik nem tisztázták le az első és második évet (nem értek el 60 ECTS pontszámot az első illetve a második tanévben) ismét be kell írniuk a visszamaradt tantárgyakat, melyeknek záróvizsgáit nem tették le. Ebben az esetben a visszamaradt tantárgyak költségeit a hallgatók viselik (nem támogatja az állam). </w:t>
      </w:r>
    </w:p>
    <w:p w:rsidR="008530F3" w:rsidRPr="009C4B80" w:rsidRDefault="008530F3" w:rsidP="008530F3">
      <w:pPr>
        <w:spacing w:before="0" w:after="0"/>
        <w:rPr>
          <w:lang w:val="hu-HU"/>
        </w:rPr>
      </w:pPr>
      <w:r w:rsidRPr="009C4B80">
        <w:rPr>
          <w:lang w:val="hu-HU"/>
        </w:rPr>
        <w:t xml:space="preserve">PÉLDA: Amennyiben a hallgató az első év folyamán 54 ECTS pontszámot ért el, a második évben pedig 49 ECTS pontszámot, akkor az első évről 6 ECTS pontszám értékben jelent be </w:t>
      </w:r>
      <w:proofErr w:type="spellStart"/>
      <w:r w:rsidRPr="009C4B80">
        <w:rPr>
          <w:lang w:val="hu-HU"/>
        </w:rPr>
        <w:t>tantágyat</w:t>
      </w:r>
      <w:proofErr w:type="spellEnd"/>
      <w:r w:rsidRPr="009C4B80">
        <w:rPr>
          <w:lang w:val="hu-HU"/>
        </w:rPr>
        <w:t xml:space="preserve"> (60 – 54 = 6 ECTS), a második évről pedig 11 ECTS pontszám értékében (60 - 49 = 11 ECTS). </w:t>
      </w:r>
    </w:p>
    <w:p w:rsidR="008530F3" w:rsidRPr="009C4B80" w:rsidRDefault="008530F3" w:rsidP="008530F3">
      <w:pPr>
        <w:spacing w:before="0" w:after="0"/>
        <w:rPr>
          <w:lang w:val="hu-HU"/>
        </w:rPr>
      </w:pPr>
    </w:p>
    <w:p w:rsidR="008530F3" w:rsidRPr="009C4B80" w:rsidRDefault="008530F3" w:rsidP="008530F3">
      <w:pPr>
        <w:spacing w:before="0" w:after="0"/>
        <w:rPr>
          <w:lang w:val="hu-HU"/>
        </w:rPr>
      </w:pPr>
      <w:r w:rsidRPr="009C4B80">
        <w:rPr>
          <w:lang w:val="hu-HU"/>
        </w:rPr>
        <w:t>Az első és másodéves kötelező tantárgyakat, melyeknek záróvizsgáját a hallgató nem tette le, elengedhetetlen</w:t>
      </w:r>
      <w:r w:rsidR="006E3B3B" w:rsidRPr="009C4B80">
        <w:rPr>
          <w:lang w:val="hu-HU"/>
        </w:rPr>
        <w:t>ü</w:t>
      </w:r>
      <w:r w:rsidRPr="009C4B80">
        <w:rPr>
          <w:lang w:val="hu-HU"/>
        </w:rPr>
        <w:t>l be kell jelenteni. A le nem tisztázott választ</w:t>
      </w:r>
      <w:r w:rsidR="001878CF" w:rsidRPr="009C4B80">
        <w:rPr>
          <w:lang w:val="hu-HU"/>
        </w:rPr>
        <w:t>ható</w:t>
      </w:r>
      <w:r w:rsidRPr="009C4B80">
        <w:rPr>
          <w:lang w:val="hu-HU"/>
        </w:rPr>
        <w:t xml:space="preserve"> tantárgyakat ismét be lehet jelenteni, illetve azok helyett újat választhat a hallgató (a választás feltétele, hogy az ECTS </w:t>
      </w:r>
      <w:proofErr w:type="spellStart"/>
      <w:r w:rsidRPr="009C4B80">
        <w:rPr>
          <w:lang w:val="hu-HU"/>
        </w:rPr>
        <w:t>összpontszám</w:t>
      </w:r>
      <w:proofErr w:type="spellEnd"/>
      <w:r w:rsidRPr="009C4B80">
        <w:rPr>
          <w:lang w:val="hu-HU"/>
        </w:rPr>
        <w:t xml:space="preserve"> összhangban legyen a szakirány követelményeivel). </w:t>
      </w:r>
    </w:p>
    <w:p w:rsidR="008530F3" w:rsidRPr="009C4B80" w:rsidRDefault="008530F3" w:rsidP="008530F3">
      <w:pPr>
        <w:spacing w:before="0" w:after="0"/>
        <w:rPr>
          <w:lang w:val="hu-HU"/>
        </w:rPr>
      </w:pPr>
    </w:p>
    <w:p w:rsidR="008530F3" w:rsidRPr="009C4B80" w:rsidRDefault="008530F3" w:rsidP="008530F3">
      <w:pPr>
        <w:spacing w:before="0" w:after="0"/>
        <w:rPr>
          <w:lang w:val="hu-HU"/>
        </w:rPr>
      </w:pPr>
      <w:r w:rsidRPr="009C4B80">
        <w:rPr>
          <w:lang w:val="hu-HU"/>
        </w:rPr>
        <w:t xml:space="preserve">Mivel a hallgató állami költségen folytatja tanulmányait, ezért köteles egészében lehallgatni a harmadik tanévet (minden kötelező tantárgyat, ill. annyi választott tantárgyat, ahány szükséges a 60 ECTS </w:t>
      </w:r>
      <w:proofErr w:type="spellStart"/>
      <w:r w:rsidRPr="009C4B80">
        <w:rPr>
          <w:lang w:val="hu-HU"/>
        </w:rPr>
        <w:t>összpontszám</w:t>
      </w:r>
      <w:proofErr w:type="spellEnd"/>
      <w:r w:rsidRPr="009C4B80">
        <w:rPr>
          <w:lang w:val="hu-HU"/>
        </w:rPr>
        <w:t xml:space="preserve"> eléréséhez). Az ismét bejelentett tantárgyak előadásait újra kell hallgatni. Amennyiben a tantervben két előadás fedi egymást, a hallgató kötelességét a tantárgyfelelős tanárral egyezteti.</w:t>
      </w:r>
    </w:p>
    <w:p w:rsidR="0000274D" w:rsidRPr="0000274D" w:rsidRDefault="0000274D" w:rsidP="0000274D">
      <w:pPr>
        <w:rPr>
          <w:lang w:val="hu-HU"/>
        </w:rPr>
      </w:pPr>
      <w:r w:rsidRPr="0000274D">
        <w:rPr>
          <w:lang w:val="hu-HU"/>
        </w:rPr>
        <w:t>Az iratkozás</w:t>
      </w:r>
      <w:r>
        <w:rPr>
          <w:lang w:val="hu-HU"/>
        </w:rPr>
        <w:t xml:space="preserve"> valamint a tandíj</w:t>
      </w:r>
      <w:r w:rsidRPr="0000274D">
        <w:rPr>
          <w:lang w:val="hu-HU"/>
        </w:rPr>
        <w:t xml:space="preserve"> költségeit a k</w:t>
      </w:r>
      <w:r>
        <w:rPr>
          <w:lang w:val="hu-HU"/>
        </w:rPr>
        <w:t>övetkező folyószámlaszámra szükséges</w:t>
      </w:r>
      <w:r w:rsidRPr="0000274D">
        <w:rPr>
          <w:lang w:val="hu-HU"/>
        </w:rPr>
        <w:t xml:space="preserve"> befizetni: </w:t>
      </w:r>
      <w:r w:rsidRPr="0000274D">
        <w:rPr>
          <w:bCs/>
          <w:lang w:val="hu-HU"/>
        </w:rPr>
        <w:t>840-526666-66</w:t>
      </w:r>
      <w:r>
        <w:rPr>
          <w:bCs/>
          <w:lang w:val="hu-HU"/>
        </w:rPr>
        <w:t xml:space="preserve">, követve az </w:t>
      </w:r>
      <w:proofErr w:type="spellStart"/>
      <w:r>
        <w:rPr>
          <w:bCs/>
          <w:lang w:val="hu-HU"/>
        </w:rPr>
        <w:t>EREF-en</w:t>
      </w:r>
      <w:proofErr w:type="spellEnd"/>
      <w:r>
        <w:rPr>
          <w:bCs/>
          <w:lang w:val="hu-HU"/>
        </w:rPr>
        <w:t xml:space="preserve"> található utasítást a </w:t>
      </w:r>
      <w:r>
        <w:rPr>
          <w:lang w:val="sr-Latn-CS"/>
        </w:rPr>
        <w:t xml:space="preserve">„Troškovi upisnine i školarine“ </w:t>
      </w:r>
      <w:proofErr w:type="spellStart"/>
      <w:r>
        <w:rPr>
          <w:lang w:val="sr-Latn-CS"/>
        </w:rPr>
        <w:t>alatt</w:t>
      </w:r>
      <w:proofErr w:type="spellEnd"/>
      <w:r>
        <w:rPr>
          <w:lang w:val="sr-Latn-CS"/>
        </w:rPr>
        <w:t>.</w:t>
      </w:r>
    </w:p>
    <w:p w:rsidR="008530F3" w:rsidRPr="009C4B80" w:rsidRDefault="006E3B3B" w:rsidP="008530F3">
      <w:pPr>
        <w:numPr>
          <w:ilvl w:val="0"/>
          <w:numId w:val="18"/>
        </w:numPr>
        <w:spacing w:before="0" w:after="0" w:line="240" w:lineRule="auto"/>
        <w:rPr>
          <w:lang w:val="hu-HU"/>
        </w:rPr>
      </w:pPr>
      <w:r w:rsidRPr="009C4B80">
        <w:rPr>
          <w:lang w:val="hu-HU"/>
        </w:rPr>
        <w:t>Az i</w:t>
      </w:r>
      <w:r w:rsidR="008530F3" w:rsidRPr="009C4B80">
        <w:rPr>
          <w:lang w:val="hu-HU"/>
        </w:rPr>
        <w:t xml:space="preserve">ratkozási költsége </w:t>
      </w:r>
      <w:r w:rsidR="005420F9">
        <w:rPr>
          <w:lang w:val="hu-HU"/>
        </w:rPr>
        <w:t>8</w:t>
      </w:r>
      <w:r w:rsidR="008530F3" w:rsidRPr="009C4B80">
        <w:rPr>
          <w:lang w:val="hu-HU"/>
        </w:rPr>
        <w:t>.</w:t>
      </w:r>
      <w:r w:rsidR="00E3681C">
        <w:rPr>
          <w:lang w:val="hu-HU"/>
        </w:rPr>
        <w:t>5</w:t>
      </w:r>
      <w:r w:rsidR="008530F3" w:rsidRPr="009C4B80">
        <w:rPr>
          <w:lang w:val="hu-HU"/>
        </w:rPr>
        <w:t xml:space="preserve">00.00 dinár. </w:t>
      </w:r>
    </w:p>
    <w:p w:rsidR="008530F3" w:rsidRPr="009C4B80" w:rsidRDefault="001878CF" w:rsidP="008530F3">
      <w:pPr>
        <w:numPr>
          <w:ilvl w:val="0"/>
          <w:numId w:val="18"/>
        </w:numPr>
        <w:spacing w:before="0" w:after="0" w:line="240" w:lineRule="auto"/>
        <w:rPr>
          <w:lang w:val="hu-HU"/>
        </w:rPr>
      </w:pPr>
      <w:r w:rsidRPr="009C4B80">
        <w:rPr>
          <w:lang w:val="hu-HU"/>
        </w:rPr>
        <w:t xml:space="preserve">Az előző </w:t>
      </w:r>
      <w:proofErr w:type="spellStart"/>
      <w:r w:rsidRPr="009C4B80">
        <w:rPr>
          <w:lang w:val="hu-HU"/>
        </w:rPr>
        <w:t>tavévekből</w:t>
      </w:r>
      <w:proofErr w:type="spellEnd"/>
      <w:r w:rsidR="008530F3" w:rsidRPr="009C4B80">
        <w:rPr>
          <w:lang w:val="hu-HU"/>
        </w:rPr>
        <w:t xml:space="preserve"> bejelentett tantárgyak költségei</w:t>
      </w:r>
      <w:r w:rsidR="00D104E2" w:rsidRPr="009C4B80">
        <w:rPr>
          <w:lang w:val="hu-HU"/>
        </w:rPr>
        <w:t xml:space="preserve">. </w:t>
      </w:r>
      <w:r w:rsidR="006E3B3B" w:rsidRPr="009C4B80">
        <w:rPr>
          <w:lang w:val="hu-HU"/>
        </w:rPr>
        <w:t>A hallga</w:t>
      </w:r>
      <w:r w:rsidR="008530F3" w:rsidRPr="009C4B80">
        <w:rPr>
          <w:lang w:val="hu-HU"/>
        </w:rPr>
        <w:t>tó annyi ECTS pontszámnak megfelelő összeget fize</w:t>
      </w:r>
      <w:r w:rsidR="00D104E2" w:rsidRPr="009C4B80">
        <w:rPr>
          <w:lang w:val="hu-HU"/>
        </w:rPr>
        <w:t xml:space="preserve">t be, amennyit újra bejelentett: </w:t>
      </w:r>
      <w:r w:rsidR="00F50338">
        <w:rPr>
          <w:lang w:val="hu-HU"/>
        </w:rPr>
        <w:t>1 ECTS = 833</w:t>
      </w:r>
      <w:r w:rsidR="008530F3" w:rsidRPr="009C4B80">
        <w:rPr>
          <w:lang w:val="hu-HU"/>
        </w:rPr>
        <w:t>,00 RSD (ha egy részletben fizetik az összeget)</w:t>
      </w:r>
      <w:r w:rsidR="00D104E2" w:rsidRPr="009C4B80">
        <w:rPr>
          <w:lang w:val="hu-HU"/>
        </w:rPr>
        <w:t xml:space="preserve">, </w:t>
      </w:r>
      <w:r w:rsidR="008530F3" w:rsidRPr="009C4B80">
        <w:rPr>
          <w:lang w:val="hu-HU"/>
        </w:rPr>
        <w:t>1 ECTS = 9</w:t>
      </w:r>
      <w:r w:rsidR="00F94456">
        <w:rPr>
          <w:lang w:val="hu-HU"/>
        </w:rPr>
        <w:t>66</w:t>
      </w:r>
      <w:r w:rsidR="008530F3" w:rsidRPr="009C4B80">
        <w:rPr>
          <w:lang w:val="hu-HU"/>
        </w:rPr>
        <w:t>,00 RSD (ha két részletben fizetik az összeget)</w:t>
      </w:r>
    </w:p>
    <w:p w:rsidR="009907D1" w:rsidRPr="009C4B80" w:rsidRDefault="00B31E19" w:rsidP="009907D1">
      <w:pPr>
        <w:pStyle w:val="Heading2"/>
        <w:rPr>
          <w:lang w:val="hu-HU"/>
        </w:rPr>
      </w:pPr>
      <w:r>
        <w:rPr>
          <w:lang w:val="hu-HU"/>
        </w:rPr>
        <w:br w:type="page"/>
      </w:r>
      <w:r w:rsidR="00F50338">
        <w:rPr>
          <w:lang w:val="hu-HU"/>
        </w:rPr>
        <w:lastRenderedPageBreak/>
        <w:t>Az előző</w:t>
      </w:r>
      <w:r w:rsidR="00E1501C" w:rsidRPr="009C4B80">
        <w:rPr>
          <w:lang w:val="hu-HU"/>
        </w:rPr>
        <w:t xml:space="preserve"> TANÉVBEN állami költségen tanuló harmadéves hallgatók</w:t>
      </w:r>
    </w:p>
    <w:p w:rsidR="007A479B" w:rsidRPr="009C4B80" w:rsidRDefault="007A479B" w:rsidP="009907D1">
      <w:pPr>
        <w:spacing w:before="0" w:after="0"/>
        <w:rPr>
          <w:lang w:val="hu-HU"/>
        </w:rPr>
      </w:pPr>
    </w:p>
    <w:p w:rsidR="00E73A1C" w:rsidRPr="00E73A1C" w:rsidRDefault="00F50338" w:rsidP="009907D1">
      <w:pPr>
        <w:spacing w:before="0" w:after="0"/>
        <w:rPr>
          <w:color w:val="FFFFFF" w:themeColor="background1"/>
          <w:lang w:val="hu-HU"/>
        </w:rPr>
      </w:pPr>
      <w:r w:rsidRPr="00E73A1C">
        <w:rPr>
          <w:color w:val="FFFFFF" w:themeColor="background1"/>
          <w:lang w:val="hu-HU"/>
        </w:rPr>
        <w:t>Az előző</w:t>
      </w:r>
      <w:r w:rsidR="00E1501C" w:rsidRPr="00E73A1C">
        <w:rPr>
          <w:color w:val="FFFFFF" w:themeColor="background1"/>
          <w:lang w:val="hu-HU"/>
        </w:rPr>
        <w:t xml:space="preserve"> tanévben állami költségen tanuló harmadéves hallgatók megtartj</w:t>
      </w:r>
      <w:r w:rsidR="00E73A1C" w:rsidRPr="00E73A1C">
        <w:rPr>
          <w:color w:val="FFFFFF" w:themeColor="background1"/>
          <w:lang w:val="hu-HU"/>
        </w:rPr>
        <w:t xml:space="preserve">ák </w:t>
      </w:r>
      <w:proofErr w:type="spellStart"/>
      <w:r w:rsidR="00E73A1C" w:rsidRPr="00E73A1C">
        <w:rPr>
          <w:color w:val="FFFFFF" w:themeColor="background1"/>
          <w:lang w:val="hu-HU"/>
        </w:rPr>
        <w:t>államiköltségi</w:t>
      </w:r>
      <w:proofErr w:type="spellEnd"/>
      <w:r w:rsidR="00E73A1C" w:rsidRPr="00E73A1C">
        <w:rPr>
          <w:color w:val="FFFFFF" w:themeColor="background1"/>
          <w:lang w:val="hu-HU"/>
        </w:rPr>
        <w:t xml:space="preserve"> beosztásukat.</w:t>
      </w:r>
    </w:p>
    <w:p w:rsidR="00E1501C" w:rsidRPr="009C4B80" w:rsidRDefault="00E1501C" w:rsidP="009907D1">
      <w:pPr>
        <w:spacing w:before="0" w:after="0"/>
        <w:rPr>
          <w:lang w:val="hu-HU"/>
        </w:rPr>
      </w:pPr>
      <w:r w:rsidRPr="009C4B80">
        <w:rPr>
          <w:lang w:val="hu-HU"/>
        </w:rPr>
        <w:t>Azoknak a harmadéves hallgatóknak, akik nem tisztázták le az előző tanéveket (nem értek el 60 ECTS pontszámot az első, második illetve a harmadik tanévben) ismét be kell írniuk a visszamaradt tantárgyakat, melyeknek záróvizsgáit nem tették le. Ebben az esetben a visszamaradt tantárgyak költségeit a hallgatók v</w:t>
      </w:r>
      <w:r w:rsidR="001878CF" w:rsidRPr="009C4B80">
        <w:rPr>
          <w:lang w:val="hu-HU"/>
        </w:rPr>
        <w:t>iselik (nem támogatja az állam), kivéve 6</w:t>
      </w:r>
      <w:r w:rsidR="00E3681C">
        <w:rPr>
          <w:lang w:val="hu-HU"/>
        </w:rPr>
        <w:t xml:space="preserve"> vagy 12</w:t>
      </w:r>
      <w:r w:rsidR="001878CF" w:rsidRPr="009C4B80">
        <w:rPr>
          <w:lang w:val="hu-HU"/>
        </w:rPr>
        <w:t xml:space="preserve"> ECTS költségét, ami a záróvizsga. </w:t>
      </w:r>
    </w:p>
    <w:p w:rsidR="001878CF" w:rsidRPr="009C4B80" w:rsidRDefault="001878CF" w:rsidP="009907D1">
      <w:pPr>
        <w:spacing w:before="0" w:after="0"/>
        <w:rPr>
          <w:lang w:val="hu-HU"/>
        </w:rPr>
      </w:pPr>
      <w:proofErr w:type="gramStart"/>
      <w:r w:rsidRPr="009C4B80">
        <w:rPr>
          <w:lang w:val="hu-HU"/>
        </w:rPr>
        <w:t xml:space="preserve">PÉLDA: Amennyiben a hallgató az első év folyamán 54 ECTS pontszámot ért el, a második évben szintén 54 ECTS pontszámot, míg a harmadikban 50 ECTS pontszámot szerzett, akkor az első évről 6 ECTS pontszám értékben jelent be </w:t>
      </w:r>
      <w:proofErr w:type="spellStart"/>
      <w:r w:rsidRPr="009C4B80">
        <w:rPr>
          <w:lang w:val="hu-HU"/>
        </w:rPr>
        <w:t>tantágyat</w:t>
      </w:r>
      <w:proofErr w:type="spellEnd"/>
      <w:r w:rsidRPr="009C4B80">
        <w:rPr>
          <w:lang w:val="hu-HU"/>
        </w:rPr>
        <w:t xml:space="preserve"> (60 – 54 = 6 ECTS), a második évről szintén 6 ECTS pontszám értékében (60 - 54 = 6 ECTS</w:t>
      </w:r>
      <w:r w:rsidR="00AF66BE">
        <w:rPr>
          <w:lang w:val="hu-HU"/>
        </w:rPr>
        <w:t>), míg a harmadik évről (60 – 50 – szakdolgozat pontjai)</w:t>
      </w:r>
      <w:r w:rsidRPr="009C4B80">
        <w:rPr>
          <w:lang w:val="hu-HU"/>
        </w:rPr>
        <w:t xml:space="preserve"> </w:t>
      </w:r>
      <w:r w:rsidR="00AF66BE" w:rsidRPr="009C4B80">
        <w:rPr>
          <w:lang w:val="hu-HU"/>
        </w:rPr>
        <w:t>pontszám értékében</w:t>
      </w:r>
      <w:r w:rsidR="00AF66BE">
        <w:rPr>
          <w:lang w:val="hu-HU"/>
        </w:rPr>
        <w:t>.</w:t>
      </w:r>
      <w:proofErr w:type="gramEnd"/>
    </w:p>
    <w:p w:rsidR="00E1501C" w:rsidRPr="009C4B80" w:rsidRDefault="00E1501C" w:rsidP="009907D1">
      <w:pPr>
        <w:spacing w:before="0" w:after="0"/>
        <w:rPr>
          <w:lang w:val="hu-HU"/>
        </w:rPr>
      </w:pPr>
    </w:p>
    <w:p w:rsidR="001878CF" w:rsidRPr="009C4B80" w:rsidRDefault="001878CF" w:rsidP="009907D1">
      <w:pPr>
        <w:spacing w:before="0" w:after="0"/>
        <w:rPr>
          <w:lang w:val="hu-HU"/>
        </w:rPr>
      </w:pPr>
      <w:r w:rsidRPr="009C4B80">
        <w:rPr>
          <w:lang w:val="hu-HU"/>
        </w:rPr>
        <w:t>Az első, másod, és harmadéves kötelező tantárgyakat, melyeknek záróvizsgáját a hallgató nem tette le, elengedhetetlen</w:t>
      </w:r>
      <w:r w:rsidR="006E3B3B" w:rsidRPr="009C4B80">
        <w:rPr>
          <w:lang w:val="hu-HU"/>
        </w:rPr>
        <w:t>ü</w:t>
      </w:r>
      <w:r w:rsidRPr="009C4B80">
        <w:rPr>
          <w:lang w:val="hu-HU"/>
        </w:rPr>
        <w:t xml:space="preserve">l be kell jelenteni. A le nem tisztázott választható tantárgyakat ismét be lehet jelenteni, illetve azok helyett újat választhat a hallgató (a választás feltétele, hogy az ECTS </w:t>
      </w:r>
      <w:proofErr w:type="spellStart"/>
      <w:r w:rsidRPr="009C4B80">
        <w:rPr>
          <w:lang w:val="hu-HU"/>
        </w:rPr>
        <w:t>összpontszám</w:t>
      </w:r>
      <w:proofErr w:type="spellEnd"/>
      <w:r w:rsidRPr="009C4B80">
        <w:rPr>
          <w:lang w:val="hu-HU"/>
        </w:rPr>
        <w:t xml:space="preserve"> összhangban legyen a szakirány követelményeivel). Az ismét bejelentett tantárgyak előadásait újra kell hallgatni. Amennyiben a tantervben két előadás fedi egymást, a hallgató kötelességét a tantárgyfelelős</w:t>
      </w:r>
      <w:bookmarkStart w:id="0" w:name="_GoBack"/>
      <w:bookmarkEnd w:id="0"/>
      <w:r w:rsidRPr="009C4B80">
        <w:rPr>
          <w:lang w:val="hu-HU"/>
        </w:rPr>
        <w:t xml:space="preserve"> tanárral egyezteti.</w:t>
      </w:r>
    </w:p>
    <w:p w:rsidR="0000274D" w:rsidRPr="0000274D" w:rsidRDefault="0000274D" w:rsidP="0000274D">
      <w:pPr>
        <w:rPr>
          <w:lang w:val="hu-HU"/>
        </w:rPr>
      </w:pPr>
      <w:r w:rsidRPr="0000274D">
        <w:rPr>
          <w:lang w:val="hu-HU"/>
        </w:rPr>
        <w:t>Az iratkozás</w:t>
      </w:r>
      <w:r>
        <w:rPr>
          <w:lang w:val="hu-HU"/>
        </w:rPr>
        <w:t xml:space="preserve"> valamint a tandíj</w:t>
      </w:r>
      <w:r w:rsidRPr="0000274D">
        <w:rPr>
          <w:lang w:val="hu-HU"/>
        </w:rPr>
        <w:t xml:space="preserve"> költségeit a k</w:t>
      </w:r>
      <w:r>
        <w:rPr>
          <w:lang w:val="hu-HU"/>
        </w:rPr>
        <w:t>övetkező folyószámlaszámra szükséges</w:t>
      </w:r>
      <w:r w:rsidRPr="0000274D">
        <w:rPr>
          <w:lang w:val="hu-HU"/>
        </w:rPr>
        <w:t xml:space="preserve"> befizetni: </w:t>
      </w:r>
      <w:r w:rsidRPr="0000274D">
        <w:rPr>
          <w:bCs/>
          <w:lang w:val="hu-HU"/>
        </w:rPr>
        <w:t>840-526666-66</w:t>
      </w:r>
      <w:r>
        <w:rPr>
          <w:bCs/>
          <w:lang w:val="hu-HU"/>
        </w:rPr>
        <w:t xml:space="preserve">, követve az </w:t>
      </w:r>
      <w:proofErr w:type="spellStart"/>
      <w:r>
        <w:rPr>
          <w:bCs/>
          <w:lang w:val="hu-HU"/>
        </w:rPr>
        <w:t>EREF-en</w:t>
      </w:r>
      <w:proofErr w:type="spellEnd"/>
      <w:r>
        <w:rPr>
          <w:bCs/>
          <w:lang w:val="hu-HU"/>
        </w:rPr>
        <w:t xml:space="preserve"> található utasítást a </w:t>
      </w:r>
      <w:r>
        <w:rPr>
          <w:lang w:val="sr-Latn-CS"/>
        </w:rPr>
        <w:t xml:space="preserve">„Troškovi upisnine i školarine“ </w:t>
      </w:r>
      <w:proofErr w:type="spellStart"/>
      <w:r>
        <w:rPr>
          <w:lang w:val="sr-Latn-CS"/>
        </w:rPr>
        <w:t>alatt</w:t>
      </w:r>
      <w:proofErr w:type="spellEnd"/>
      <w:r>
        <w:rPr>
          <w:lang w:val="sr-Latn-CS"/>
        </w:rPr>
        <w:t>.</w:t>
      </w:r>
    </w:p>
    <w:p w:rsidR="001878CF" w:rsidRPr="009C4B80" w:rsidRDefault="006E3B3B" w:rsidP="001878CF">
      <w:pPr>
        <w:numPr>
          <w:ilvl w:val="0"/>
          <w:numId w:val="19"/>
        </w:numPr>
        <w:spacing w:before="0" w:after="0" w:line="240" w:lineRule="auto"/>
        <w:rPr>
          <w:lang w:val="hu-HU"/>
        </w:rPr>
      </w:pPr>
      <w:r w:rsidRPr="009C4B80">
        <w:rPr>
          <w:lang w:val="hu-HU"/>
        </w:rPr>
        <w:t>Az i</w:t>
      </w:r>
      <w:r w:rsidR="001878CF" w:rsidRPr="009C4B80">
        <w:rPr>
          <w:lang w:val="hu-HU"/>
        </w:rPr>
        <w:t xml:space="preserve">ratkozási költsége </w:t>
      </w:r>
      <w:r w:rsidR="005420F9">
        <w:rPr>
          <w:lang w:val="hu-HU"/>
        </w:rPr>
        <w:t>8</w:t>
      </w:r>
      <w:r w:rsidR="001878CF" w:rsidRPr="009C4B80">
        <w:rPr>
          <w:lang w:val="hu-HU"/>
        </w:rPr>
        <w:t>.</w:t>
      </w:r>
      <w:r w:rsidR="00E3681C">
        <w:rPr>
          <w:lang w:val="hu-HU"/>
        </w:rPr>
        <w:t>5</w:t>
      </w:r>
      <w:r w:rsidR="001878CF" w:rsidRPr="009C4B80">
        <w:rPr>
          <w:lang w:val="hu-HU"/>
        </w:rPr>
        <w:t xml:space="preserve">00.00 dinár. </w:t>
      </w:r>
    </w:p>
    <w:p w:rsidR="001878CF" w:rsidRPr="009C4B80" w:rsidRDefault="001878CF" w:rsidP="001878CF">
      <w:pPr>
        <w:numPr>
          <w:ilvl w:val="0"/>
          <w:numId w:val="19"/>
        </w:numPr>
        <w:spacing w:before="0" w:after="0" w:line="240" w:lineRule="auto"/>
        <w:rPr>
          <w:lang w:val="hu-HU"/>
        </w:rPr>
      </w:pPr>
      <w:r w:rsidRPr="009C4B80">
        <w:rPr>
          <w:lang w:val="hu-HU"/>
        </w:rPr>
        <w:t xml:space="preserve">Az előző tanévekből bejelentett tantárgyak költségei. </w:t>
      </w:r>
    </w:p>
    <w:p w:rsidR="001878CF" w:rsidRPr="009C4B80" w:rsidRDefault="006E3B3B" w:rsidP="001878CF">
      <w:pPr>
        <w:spacing w:before="0" w:after="0" w:line="240" w:lineRule="auto"/>
        <w:ind w:left="720"/>
        <w:rPr>
          <w:lang w:val="hu-HU"/>
        </w:rPr>
      </w:pPr>
      <w:r w:rsidRPr="009C4B80">
        <w:rPr>
          <w:lang w:val="hu-HU"/>
        </w:rPr>
        <w:t>A hallga</w:t>
      </w:r>
      <w:r w:rsidR="001878CF" w:rsidRPr="009C4B80">
        <w:rPr>
          <w:lang w:val="hu-HU"/>
        </w:rPr>
        <w:t>tó annyi ECTS pontszámnak megfelelő összeget fizet be, amennyit újra bejelentett</w:t>
      </w:r>
      <w:r w:rsidR="009C4B80">
        <w:rPr>
          <w:lang w:val="hu-HU"/>
        </w:rPr>
        <w:t xml:space="preserve">, </w:t>
      </w:r>
      <w:r w:rsidR="009C4B80" w:rsidRPr="009C4B80">
        <w:rPr>
          <w:lang w:val="hu-HU"/>
        </w:rPr>
        <w:t>kivéve 6</w:t>
      </w:r>
      <w:r w:rsidR="00E3681C">
        <w:rPr>
          <w:lang w:val="hu-HU"/>
        </w:rPr>
        <w:t xml:space="preserve"> vagy 12</w:t>
      </w:r>
      <w:r w:rsidR="009C4B80" w:rsidRPr="009C4B80">
        <w:rPr>
          <w:lang w:val="hu-HU"/>
        </w:rPr>
        <w:t xml:space="preserve"> ECTS költségét, ami a záróvizsga</w:t>
      </w:r>
      <w:proofErr w:type="gramStart"/>
      <w:r w:rsidR="009C4B80" w:rsidRPr="009C4B80">
        <w:rPr>
          <w:lang w:val="hu-HU"/>
        </w:rPr>
        <w:t>.</w:t>
      </w:r>
      <w:r w:rsidR="001878CF" w:rsidRPr="009C4B80">
        <w:rPr>
          <w:lang w:val="hu-HU"/>
        </w:rPr>
        <w:t>.</w:t>
      </w:r>
      <w:proofErr w:type="gramEnd"/>
    </w:p>
    <w:p w:rsidR="001878CF" w:rsidRPr="009C4B80" w:rsidRDefault="009C4B80" w:rsidP="009C4B80">
      <w:pPr>
        <w:spacing w:before="0" w:after="0" w:line="240" w:lineRule="auto"/>
        <w:ind w:firstLine="720"/>
        <w:rPr>
          <w:lang w:val="hu-HU"/>
        </w:rPr>
      </w:pPr>
      <w:r>
        <w:rPr>
          <w:lang w:val="hu-HU"/>
        </w:rPr>
        <w:t xml:space="preserve">Egy </w:t>
      </w:r>
      <w:r w:rsidR="00F50338">
        <w:rPr>
          <w:lang w:val="hu-HU"/>
        </w:rPr>
        <w:t>ECTS = 833</w:t>
      </w:r>
      <w:r w:rsidR="001878CF" w:rsidRPr="009C4B80">
        <w:rPr>
          <w:lang w:val="hu-HU"/>
        </w:rPr>
        <w:t>,00 RSD (ha egy részletben fizetik az összeget)</w:t>
      </w:r>
    </w:p>
    <w:p w:rsidR="001878CF" w:rsidRPr="009C4B80" w:rsidRDefault="009C4B80" w:rsidP="009C4B80">
      <w:pPr>
        <w:spacing w:before="0" w:after="0" w:line="240" w:lineRule="auto"/>
        <w:ind w:left="720"/>
        <w:rPr>
          <w:lang w:val="hu-HU"/>
        </w:rPr>
      </w:pPr>
      <w:r>
        <w:rPr>
          <w:lang w:val="hu-HU"/>
        </w:rPr>
        <w:t xml:space="preserve">Egy </w:t>
      </w:r>
      <w:r w:rsidR="001878CF" w:rsidRPr="009C4B80">
        <w:rPr>
          <w:lang w:val="hu-HU"/>
        </w:rPr>
        <w:t>ECTS = 9</w:t>
      </w:r>
      <w:r w:rsidR="00F94456">
        <w:rPr>
          <w:lang w:val="hu-HU"/>
        </w:rPr>
        <w:t>66</w:t>
      </w:r>
      <w:r w:rsidR="001878CF" w:rsidRPr="009C4B80">
        <w:rPr>
          <w:lang w:val="hu-HU"/>
        </w:rPr>
        <w:t>,00 RSD (ha két részletben fizetik az összeget)</w:t>
      </w:r>
    </w:p>
    <w:p w:rsidR="004E506B" w:rsidRPr="009C4B80" w:rsidRDefault="004E506B" w:rsidP="009C4B80">
      <w:pPr>
        <w:spacing w:before="0" w:after="0" w:line="240" w:lineRule="auto"/>
        <w:rPr>
          <w:b/>
          <w:bCs/>
          <w:lang w:val="hu-HU"/>
        </w:rPr>
      </w:pPr>
    </w:p>
    <w:p w:rsidR="004E506B" w:rsidRPr="009C4B80" w:rsidRDefault="00B31E19" w:rsidP="004E506B">
      <w:pPr>
        <w:pStyle w:val="Heading2"/>
        <w:rPr>
          <w:lang w:val="hu-HU"/>
        </w:rPr>
      </w:pPr>
      <w:r>
        <w:rPr>
          <w:lang w:val="hu-HU"/>
        </w:rPr>
        <w:br w:type="page"/>
      </w:r>
      <w:r w:rsidR="00F50338">
        <w:rPr>
          <w:lang w:val="hu-HU"/>
        </w:rPr>
        <w:lastRenderedPageBreak/>
        <w:t>Az előző</w:t>
      </w:r>
      <w:r w:rsidR="007A479B" w:rsidRPr="009C4B80">
        <w:rPr>
          <w:lang w:val="hu-HU"/>
        </w:rPr>
        <w:t xml:space="preserve"> TANÉVBEN önköltségen tanuló harmadéves hallgatók</w:t>
      </w:r>
    </w:p>
    <w:p w:rsidR="007A479B" w:rsidRPr="009C4B80" w:rsidRDefault="007A479B" w:rsidP="004E506B">
      <w:pPr>
        <w:spacing w:before="0" w:after="0"/>
        <w:rPr>
          <w:lang w:val="hu-HU"/>
        </w:rPr>
      </w:pPr>
    </w:p>
    <w:p w:rsidR="00E73A1C" w:rsidRPr="00E73A1C" w:rsidRDefault="00F50338" w:rsidP="007A479B">
      <w:pPr>
        <w:spacing w:before="0" w:after="0"/>
        <w:rPr>
          <w:color w:val="FFFFFF" w:themeColor="background1"/>
          <w:lang w:val="hu-HU"/>
        </w:rPr>
      </w:pPr>
      <w:r w:rsidRPr="00E73A1C">
        <w:rPr>
          <w:color w:val="FFFFFF" w:themeColor="background1"/>
          <w:lang w:val="hu-HU"/>
        </w:rPr>
        <w:t>Az előző</w:t>
      </w:r>
      <w:r w:rsidR="007A479B" w:rsidRPr="00E73A1C">
        <w:rPr>
          <w:color w:val="FFFFFF" w:themeColor="background1"/>
          <w:lang w:val="hu-HU"/>
        </w:rPr>
        <w:t xml:space="preserve"> tanévben önköltségen tanuló harmadéves hallgatók megta</w:t>
      </w:r>
      <w:r w:rsidR="00E73A1C" w:rsidRPr="00E73A1C">
        <w:rPr>
          <w:color w:val="FFFFFF" w:themeColor="background1"/>
          <w:lang w:val="hu-HU"/>
        </w:rPr>
        <w:t>rtják önköltséges beosztásukat.</w:t>
      </w:r>
    </w:p>
    <w:p w:rsidR="007A479B" w:rsidRPr="009C4B80" w:rsidRDefault="007A479B" w:rsidP="007A479B">
      <w:pPr>
        <w:spacing w:before="0" w:after="0"/>
        <w:rPr>
          <w:lang w:val="hu-HU"/>
        </w:rPr>
      </w:pPr>
      <w:r w:rsidRPr="009C4B80">
        <w:rPr>
          <w:lang w:val="hu-HU"/>
        </w:rPr>
        <w:t>Azoknak a harmadéves hallgatóknak, akik nem tisztázták le az előző tanéveket (nem értek el 60 ECTS pontszámot az első, második illetve a harmadik tanévben) ismét be kell írniuk a visszamaradt tantárgyakat, melyeknek záróvizsgáit nem tették le. Ebben az esetben a visszamaradt tantárgyak költségeit a hallgatók viselik (nem támogatja az állam), kivéve 6</w:t>
      </w:r>
      <w:r w:rsidR="00E3681C">
        <w:rPr>
          <w:lang w:val="hu-HU"/>
        </w:rPr>
        <w:t xml:space="preserve"> vagy 12</w:t>
      </w:r>
      <w:r w:rsidRPr="009C4B80">
        <w:rPr>
          <w:lang w:val="hu-HU"/>
        </w:rPr>
        <w:t xml:space="preserve"> ECTS költségét, ami a záróvizsga. </w:t>
      </w:r>
    </w:p>
    <w:p w:rsidR="007A479B" w:rsidRPr="009C4B80" w:rsidRDefault="007A479B" w:rsidP="004E506B">
      <w:pPr>
        <w:spacing w:before="0" w:after="0"/>
        <w:rPr>
          <w:lang w:val="hu-HU"/>
        </w:rPr>
      </w:pPr>
      <w:proofErr w:type="gramStart"/>
      <w:r w:rsidRPr="009C4B80">
        <w:rPr>
          <w:lang w:val="hu-HU"/>
        </w:rPr>
        <w:t xml:space="preserve">PÉLDA: Amennyiben a hallgató az első év folyamán 54 ECTS pontszámot ért el, a második évben szintén 54 ECTS pontszámot, míg a harmadikban 50 ECTS pontszámot szerzett, akkor az első évről 6 ECTS pontszám értékben jelent be </w:t>
      </w:r>
      <w:proofErr w:type="spellStart"/>
      <w:r w:rsidRPr="009C4B80">
        <w:rPr>
          <w:lang w:val="hu-HU"/>
        </w:rPr>
        <w:t>tantágyat</w:t>
      </w:r>
      <w:proofErr w:type="spellEnd"/>
      <w:r w:rsidRPr="009C4B80">
        <w:rPr>
          <w:lang w:val="hu-HU"/>
        </w:rPr>
        <w:t xml:space="preserve"> (60 – 54 = 6 ECTS), a második évről szintén 6 ECTS pontszám értékében (60 - 54 = 6 ECTS), míg a harmadik évről </w:t>
      </w:r>
      <w:r w:rsidR="00AF66BE">
        <w:rPr>
          <w:lang w:val="hu-HU"/>
        </w:rPr>
        <w:t>(60 – 50 – szakdolgozat pontjai)</w:t>
      </w:r>
      <w:r w:rsidR="00AF66BE" w:rsidRPr="009C4B80">
        <w:rPr>
          <w:lang w:val="hu-HU"/>
        </w:rPr>
        <w:t xml:space="preserve"> pontszám értékében</w:t>
      </w:r>
      <w:r w:rsidR="00AF66BE">
        <w:rPr>
          <w:lang w:val="hu-HU"/>
        </w:rPr>
        <w:t>.</w:t>
      </w:r>
      <w:proofErr w:type="gramEnd"/>
    </w:p>
    <w:p w:rsidR="007A479B" w:rsidRPr="009C4B80" w:rsidRDefault="007A479B" w:rsidP="004E506B">
      <w:pPr>
        <w:spacing w:before="0" w:after="0"/>
        <w:rPr>
          <w:lang w:val="hu-HU"/>
        </w:rPr>
      </w:pPr>
    </w:p>
    <w:p w:rsidR="004E506B" w:rsidRPr="009C4B80" w:rsidRDefault="007A479B" w:rsidP="004E506B">
      <w:pPr>
        <w:spacing w:before="0" w:after="0"/>
        <w:rPr>
          <w:lang w:val="hu-HU"/>
        </w:rPr>
      </w:pPr>
      <w:r w:rsidRPr="009C4B80">
        <w:rPr>
          <w:lang w:val="hu-HU"/>
        </w:rPr>
        <w:t>Az első, másod, és harmadéves kötelező tantárgyakat, melyeknek záróvizsgáját a hallgató nem tette le, elengedhetetlen</w:t>
      </w:r>
      <w:r w:rsidR="006E3B3B" w:rsidRPr="009C4B80">
        <w:rPr>
          <w:lang w:val="hu-HU"/>
        </w:rPr>
        <w:t>ü</w:t>
      </w:r>
      <w:r w:rsidRPr="009C4B80">
        <w:rPr>
          <w:lang w:val="hu-HU"/>
        </w:rPr>
        <w:t xml:space="preserve">l be kell jelenteni. A le nem tisztázott választható tantárgyakat ismét be lehet jelenteni, illetve azok helyett újat választhat a hallgató (a választás feltétele, hogy az ECTS </w:t>
      </w:r>
      <w:proofErr w:type="spellStart"/>
      <w:r w:rsidRPr="009C4B80">
        <w:rPr>
          <w:lang w:val="hu-HU"/>
        </w:rPr>
        <w:t>összpontszám</w:t>
      </w:r>
      <w:proofErr w:type="spellEnd"/>
      <w:r w:rsidRPr="009C4B80">
        <w:rPr>
          <w:lang w:val="hu-HU"/>
        </w:rPr>
        <w:t xml:space="preserve"> összhangban legyen a szakirány követelményeivel). Az ismét bejelentett tantárgyak előadásait újra kell hallgatni. Amennyiben a tantervben két előadás fedi egymást, a hallgató kötelességét a tantárgyfelelős tanárral egyezteti.</w:t>
      </w:r>
    </w:p>
    <w:p w:rsidR="0000274D" w:rsidRPr="0000274D" w:rsidRDefault="0000274D" w:rsidP="0000274D">
      <w:pPr>
        <w:rPr>
          <w:lang w:val="hu-HU"/>
        </w:rPr>
      </w:pPr>
      <w:r w:rsidRPr="0000274D">
        <w:rPr>
          <w:lang w:val="hu-HU"/>
        </w:rPr>
        <w:t>Az iratkozás</w:t>
      </w:r>
      <w:r>
        <w:rPr>
          <w:lang w:val="hu-HU"/>
        </w:rPr>
        <w:t xml:space="preserve"> valamint a tandíj</w:t>
      </w:r>
      <w:r w:rsidRPr="0000274D">
        <w:rPr>
          <w:lang w:val="hu-HU"/>
        </w:rPr>
        <w:t xml:space="preserve"> költségeit a k</w:t>
      </w:r>
      <w:r>
        <w:rPr>
          <w:lang w:val="hu-HU"/>
        </w:rPr>
        <w:t>övetkező folyószámlaszámra szükséges</w:t>
      </w:r>
      <w:r w:rsidRPr="0000274D">
        <w:rPr>
          <w:lang w:val="hu-HU"/>
        </w:rPr>
        <w:t xml:space="preserve"> befizetni: </w:t>
      </w:r>
      <w:r w:rsidRPr="0000274D">
        <w:rPr>
          <w:bCs/>
          <w:lang w:val="hu-HU"/>
        </w:rPr>
        <w:t>840-526666-66</w:t>
      </w:r>
      <w:r>
        <w:rPr>
          <w:bCs/>
          <w:lang w:val="hu-HU"/>
        </w:rPr>
        <w:t xml:space="preserve">, követve az </w:t>
      </w:r>
      <w:proofErr w:type="spellStart"/>
      <w:r>
        <w:rPr>
          <w:bCs/>
          <w:lang w:val="hu-HU"/>
        </w:rPr>
        <w:t>EREF-en</w:t>
      </w:r>
      <w:proofErr w:type="spellEnd"/>
      <w:r>
        <w:rPr>
          <w:bCs/>
          <w:lang w:val="hu-HU"/>
        </w:rPr>
        <w:t xml:space="preserve"> található utasítást a </w:t>
      </w:r>
      <w:r>
        <w:rPr>
          <w:lang w:val="sr-Latn-CS"/>
        </w:rPr>
        <w:t xml:space="preserve">„Troškovi upisnine i školarine“ </w:t>
      </w:r>
      <w:proofErr w:type="spellStart"/>
      <w:r>
        <w:rPr>
          <w:lang w:val="sr-Latn-CS"/>
        </w:rPr>
        <w:t>alatt</w:t>
      </w:r>
      <w:proofErr w:type="spellEnd"/>
      <w:r>
        <w:rPr>
          <w:lang w:val="sr-Latn-CS"/>
        </w:rPr>
        <w:t>.</w:t>
      </w:r>
    </w:p>
    <w:p w:rsidR="007A479B" w:rsidRPr="009C4B80" w:rsidRDefault="006E3B3B" w:rsidP="007A479B">
      <w:pPr>
        <w:numPr>
          <w:ilvl w:val="0"/>
          <w:numId w:val="20"/>
        </w:numPr>
        <w:spacing w:before="0" w:after="0" w:line="240" w:lineRule="auto"/>
        <w:rPr>
          <w:lang w:val="hu-HU"/>
        </w:rPr>
      </w:pPr>
      <w:r w:rsidRPr="009C4B80">
        <w:rPr>
          <w:lang w:val="hu-HU"/>
        </w:rPr>
        <w:t>Az i</w:t>
      </w:r>
      <w:r w:rsidR="007A479B" w:rsidRPr="009C4B80">
        <w:rPr>
          <w:lang w:val="hu-HU"/>
        </w:rPr>
        <w:t xml:space="preserve">ratkozási költsége </w:t>
      </w:r>
      <w:r w:rsidR="005420F9">
        <w:rPr>
          <w:lang w:val="hu-HU"/>
        </w:rPr>
        <w:t>8</w:t>
      </w:r>
      <w:r w:rsidR="007A479B" w:rsidRPr="009C4B80">
        <w:rPr>
          <w:lang w:val="hu-HU"/>
        </w:rPr>
        <w:t>.</w:t>
      </w:r>
      <w:r w:rsidR="00E3681C">
        <w:rPr>
          <w:lang w:val="hu-HU"/>
        </w:rPr>
        <w:t>5</w:t>
      </w:r>
      <w:r w:rsidR="007A479B" w:rsidRPr="009C4B80">
        <w:rPr>
          <w:lang w:val="hu-HU"/>
        </w:rPr>
        <w:t xml:space="preserve">00.00 dinár. </w:t>
      </w:r>
    </w:p>
    <w:p w:rsidR="009C4B80" w:rsidRPr="009C4B80" w:rsidRDefault="009C4B80" w:rsidP="009C4B80">
      <w:pPr>
        <w:numPr>
          <w:ilvl w:val="0"/>
          <w:numId w:val="19"/>
        </w:numPr>
        <w:spacing w:before="0" w:after="0" w:line="240" w:lineRule="auto"/>
        <w:rPr>
          <w:lang w:val="hu-HU"/>
        </w:rPr>
      </w:pPr>
      <w:r w:rsidRPr="009C4B80">
        <w:rPr>
          <w:lang w:val="hu-HU"/>
        </w:rPr>
        <w:t xml:space="preserve">Az előző tanévekből bejelentett tantárgyak költségei. </w:t>
      </w:r>
    </w:p>
    <w:p w:rsidR="009C4B80" w:rsidRPr="009C4B80" w:rsidRDefault="009C4B80" w:rsidP="009C4B80">
      <w:pPr>
        <w:spacing w:before="0" w:after="0" w:line="240" w:lineRule="auto"/>
        <w:ind w:left="720"/>
        <w:rPr>
          <w:lang w:val="hu-HU"/>
        </w:rPr>
      </w:pPr>
      <w:r w:rsidRPr="009C4B80">
        <w:rPr>
          <w:lang w:val="hu-HU"/>
        </w:rPr>
        <w:t>A hallgató annyi ECTS pontszámnak megfelelő összeget fizet be, amennyit újra bejelentett</w:t>
      </w:r>
      <w:r>
        <w:rPr>
          <w:lang w:val="hu-HU"/>
        </w:rPr>
        <w:t xml:space="preserve">, </w:t>
      </w:r>
      <w:r w:rsidRPr="009C4B80">
        <w:rPr>
          <w:lang w:val="hu-HU"/>
        </w:rPr>
        <w:t>kivéve 6</w:t>
      </w:r>
      <w:r w:rsidR="00E3681C">
        <w:rPr>
          <w:lang w:val="hu-HU"/>
        </w:rPr>
        <w:t xml:space="preserve"> vagy 12</w:t>
      </w:r>
      <w:r w:rsidRPr="009C4B80">
        <w:rPr>
          <w:lang w:val="hu-HU"/>
        </w:rPr>
        <w:t xml:space="preserve"> ECTS költségét, ami a záróvizsga</w:t>
      </w:r>
      <w:proofErr w:type="gramStart"/>
      <w:r w:rsidRPr="009C4B80">
        <w:rPr>
          <w:lang w:val="hu-HU"/>
        </w:rPr>
        <w:t>..</w:t>
      </w:r>
      <w:proofErr w:type="gramEnd"/>
    </w:p>
    <w:p w:rsidR="009C4B80" w:rsidRPr="009C4B80" w:rsidRDefault="009C4B80" w:rsidP="009C4B80">
      <w:pPr>
        <w:spacing w:before="0" w:after="0" w:line="240" w:lineRule="auto"/>
        <w:ind w:firstLine="720"/>
        <w:rPr>
          <w:lang w:val="hu-HU"/>
        </w:rPr>
      </w:pPr>
      <w:r>
        <w:rPr>
          <w:lang w:val="hu-HU"/>
        </w:rPr>
        <w:t xml:space="preserve">Egy </w:t>
      </w:r>
      <w:r w:rsidR="00F50338">
        <w:rPr>
          <w:lang w:val="hu-HU"/>
        </w:rPr>
        <w:t>ECTS = 833</w:t>
      </w:r>
      <w:r w:rsidRPr="009C4B80">
        <w:rPr>
          <w:lang w:val="hu-HU"/>
        </w:rPr>
        <w:t>,00 RSD (ha egy részletben fizetik az összeget)</w:t>
      </w:r>
    </w:p>
    <w:p w:rsidR="009C4B80" w:rsidRPr="009C4B80" w:rsidRDefault="009C4B80" w:rsidP="009C4B80">
      <w:pPr>
        <w:spacing w:before="0" w:after="0" w:line="240" w:lineRule="auto"/>
        <w:ind w:left="720"/>
        <w:rPr>
          <w:lang w:val="hu-HU"/>
        </w:rPr>
      </w:pPr>
      <w:r>
        <w:rPr>
          <w:lang w:val="hu-HU"/>
        </w:rPr>
        <w:t xml:space="preserve">Egy </w:t>
      </w:r>
      <w:r w:rsidRPr="009C4B80">
        <w:rPr>
          <w:lang w:val="hu-HU"/>
        </w:rPr>
        <w:t>ECTS = 9</w:t>
      </w:r>
      <w:r w:rsidR="00F94456">
        <w:rPr>
          <w:lang w:val="hu-HU"/>
        </w:rPr>
        <w:t>66</w:t>
      </w:r>
      <w:r w:rsidRPr="009C4B80">
        <w:rPr>
          <w:lang w:val="hu-HU"/>
        </w:rPr>
        <w:t>,00 RSD (ha két részletben fizetik az összeget)</w:t>
      </w:r>
    </w:p>
    <w:sectPr w:rsidR="009C4B80" w:rsidRPr="009C4B80" w:rsidSect="00E5259B">
      <w:headerReference w:type="default" r:id="rId8"/>
      <w:footerReference w:type="default" r:id="rId9"/>
      <w:pgSz w:w="12240" w:h="15840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E1D" w:rsidRDefault="00F45E1D">
      <w:r>
        <w:separator/>
      </w:r>
    </w:p>
  </w:endnote>
  <w:endnote w:type="continuationSeparator" w:id="0">
    <w:p w:rsidR="00F45E1D" w:rsidRDefault="00F45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96"/>
      <w:gridCol w:w="8476"/>
    </w:tblGrid>
    <w:tr w:rsidR="00F9343D" w:rsidRPr="00EE630A">
      <w:tc>
        <w:tcPr>
          <w:tcW w:w="750" w:type="pct"/>
        </w:tcPr>
        <w:p w:rsidR="00F9343D" w:rsidRPr="003E74B4" w:rsidRDefault="00F75DF6" w:rsidP="003E74B4">
          <w:pPr>
            <w:pStyle w:val="Foot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94456">
            <w:rPr>
              <w:noProof/>
            </w:rPr>
            <w:t>8</w:t>
          </w:r>
          <w:r>
            <w:rPr>
              <w:noProof/>
            </w:rPr>
            <w:fldChar w:fldCharType="end"/>
          </w:r>
          <w:r w:rsidR="00F9343D" w:rsidRPr="003E74B4">
            <w:t>/</w:t>
          </w:r>
          <w:r w:rsidR="00F45E1D">
            <w:fldChar w:fldCharType="begin"/>
          </w:r>
          <w:r w:rsidR="00F45E1D">
            <w:instrText xml:space="preserve"> NUMPAGES  \* Arabic  \* MERGEFORMAT </w:instrText>
          </w:r>
          <w:r w:rsidR="00F45E1D">
            <w:fldChar w:fldCharType="separate"/>
          </w:r>
          <w:r w:rsidR="00F94456">
            <w:rPr>
              <w:noProof/>
            </w:rPr>
            <w:t>8</w:t>
          </w:r>
          <w:r w:rsidR="00F45E1D">
            <w:rPr>
              <w:noProof/>
            </w:rPr>
            <w:fldChar w:fldCharType="end"/>
          </w:r>
        </w:p>
      </w:tc>
      <w:tc>
        <w:tcPr>
          <w:tcW w:w="4250" w:type="pct"/>
        </w:tcPr>
        <w:p w:rsidR="00F9343D" w:rsidRPr="003E74B4" w:rsidRDefault="00F9343D" w:rsidP="003E74B4">
          <w:pPr>
            <w:pStyle w:val="Footer"/>
            <w:jc w:val="right"/>
          </w:pPr>
        </w:p>
      </w:tc>
    </w:tr>
  </w:tbl>
  <w:p w:rsidR="00F9343D" w:rsidRPr="003E74B4" w:rsidRDefault="00F9343D" w:rsidP="003E74B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E1D" w:rsidRDefault="00F45E1D">
      <w:r>
        <w:separator/>
      </w:r>
    </w:p>
  </w:footnote>
  <w:footnote w:type="continuationSeparator" w:id="0">
    <w:p w:rsidR="00F45E1D" w:rsidRDefault="00F45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36" w:space="0" w:color="FFDC00"/>
        <w:left w:val="single" w:sz="36" w:space="0" w:color="FFDC00"/>
      </w:tblBorders>
      <w:tblLook w:val="01E0" w:firstRow="1" w:lastRow="1" w:firstColumn="1" w:lastColumn="1" w:noHBand="0" w:noVBand="0"/>
    </w:tblPr>
    <w:tblGrid>
      <w:gridCol w:w="4349"/>
      <w:gridCol w:w="2174"/>
      <w:gridCol w:w="2175"/>
    </w:tblGrid>
    <w:tr w:rsidR="00F9343D" w:rsidRPr="00EE630A" w:rsidTr="003E74B4">
      <w:trPr>
        <w:trHeight w:val="20"/>
      </w:trPr>
      <w:tc>
        <w:tcPr>
          <w:tcW w:w="4349" w:type="dxa"/>
          <w:tcMar>
            <w:left w:w="28" w:type="dxa"/>
            <w:right w:w="28" w:type="dxa"/>
          </w:tcMar>
          <w:vAlign w:val="center"/>
        </w:tcPr>
        <w:p w:rsidR="00F9343D" w:rsidRPr="003E74B4" w:rsidRDefault="00F42F9F" w:rsidP="003E74B4">
          <w:pPr>
            <w:jc w:val="center"/>
            <w:rPr>
              <w:b/>
              <w:color w:val="3232FF"/>
              <w:lang w:val="sr-Latn-CS"/>
            </w:rPr>
          </w:pPr>
          <w:r>
            <w:rPr>
              <w:noProof/>
              <w:lang w:bidi="ar-SA"/>
            </w:rPr>
            <w:drawing>
              <wp:inline distT="0" distB="0" distL="0" distR="0">
                <wp:extent cx="771525" cy="428625"/>
                <wp:effectExtent l="19050" t="0" r="9525" b="0"/>
                <wp:docPr id="1" name="Picture 1" descr="vts plavo 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ts plavo 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208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74" w:type="dxa"/>
          <w:vAlign w:val="center"/>
        </w:tcPr>
        <w:p w:rsidR="00F9343D" w:rsidRPr="003E74B4" w:rsidRDefault="00F9343D" w:rsidP="003E74B4">
          <w:pPr>
            <w:jc w:val="center"/>
            <w:rPr>
              <w:lang w:val="hu-HU"/>
            </w:rPr>
          </w:pPr>
        </w:p>
      </w:tc>
      <w:tc>
        <w:tcPr>
          <w:tcW w:w="2175" w:type="dxa"/>
          <w:vAlign w:val="center"/>
        </w:tcPr>
        <w:p w:rsidR="00F9343D" w:rsidRPr="003E74B4" w:rsidRDefault="00F9343D" w:rsidP="003E74B4">
          <w:pPr>
            <w:jc w:val="center"/>
            <w:rPr>
              <w:lang w:val="hu-HU"/>
            </w:rPr>
          </w:pPr>
        </w:p>
      </w:tc>
    </w:tr>
    <w:tr w:rsidR="00F9343D" w:rsidRPr="00EE630A" w:rsidTr="003E74B4">
      <w:trPr>
        <w:trHeight w:val="20"/>
      </w:trPr>
      <w:tc>
        <w:tcPr>
          <w:tcW w:w="4349" w:type="dxa"/>
          <w:tcMar>
            <w:left w:w="28" w:type="dxa"/>
            <w:right w:w="28" w:type="dxa"/>
          </w:tcMar>
          <w:vAlign w:val="center"/>
        </w:tcPr>
        <w:p w:rsidR="00F9343D" w:rsidRPr="003E74B4" w:rsidRDefault="00F9343D" w:rsidP="003E74B4">
          <w:pPr>
            <w:jc w:val="center"/>
            <w:rPr>
              <w:sz w:val="16"/>
              <w:szCs w:val="16"/>
              <w:lang w:val="hu-HU"/>
            </w:rPr>
          </w:pPr>
          <w:r w:rsidRPr="003E74B4">
            <w:rPr>
              <w:b/>
              <w:color w:val="3232FF"/>
              <w:sz w:val="16"/>
              <w:szCs w:val="16"/>
              <w:lang w:val="sr-Latn-CS"/>
            </w:rPr>
            <w:t>VISOKA TEHNIČKA ŠKOLA STRUKOVNIH STUDIJA – SUBOTICA</w:t>
          </w:r>
          <w:r w:rsidRPr="003E74B4">
            <w:rPr>
              <w:b/>
              <w:color w:val="3232FF"/>
              <w:sz w:val="16"/>
              <w:szCs w:val="16"/>
              <w:lang w:val="sr-Latn-CS"/>
            </w:rPr>
            <w:br/>
            <w:t>SZABADKAI MŰSZAKI SZAKFŐISKOLA – SZABADKA</w:t>
          </w:r>
          <w:r w:rsidRPr="003E74B4">
            <w:rPr>
              <w:b/>
              <w:color w:val="3232FF"/>
              <w:sz w:val="16"/>
              <w:szCs w:val="16"/>
              <w:lang w:val="sr-Latn-CS"/>
            </w:rPr>
            <w:br/>
            <w:t>SUBOTICA TECH</w:t>
          </w:r>
        </w:p>
      </w:tc>
      <w:tc>
        <w:tcPr>
          <w:tcW w:w="2174" w:type="dxa"/>
          <w:vAlign w:val="center"/>
        </w:tcPr>
        <w:p w:rsidR="00F9343D" w:rsidRPr="003E74B4" w:rsidRDefault="00F9343D" w:rsidP="003E74B4">
          <w:pPr>
            <w:jc w:val="center"/>
            <w:rPr>
              <w:lang w:val="hu-HU"/>
            </w:rPr>
          </w:pPr>
        </w:p>
      </w:tc>
      <w:tc>
        <w:tcPr>
          <w:tcW w:w="2175" w:type="dxa"/>
          <w:vAlign w:val="center"/>
        </w:tcPr>
        <w:p w:rsidR="00F9343D" w:rsidRPr="003E74B4" w:rsidRDefault="00F9343D" w:rsidP="003E74B4">
          <w:pPr>
            <w:jc w:val="center"/>
            <w:rPr>
              <w:lang w:val="hu-HU"/>
            </w:rPr>
          </w:pPr>
        </w:p>
      </w:tc>
    </w:tr>
    <w:tr w:rsidR="00F9343D" w:rsidRPr="00EE630A" w:rsidTr="003E74B4">
      <w:trPr>
        <w:trHeight w:val="20"/>
      </w:trPr>
      <w:tc>
        <w:tcPr>
          <w:tcW w:w="4349" w:type="dxa"/>
          <w:tcMar>
            <w:left w:w="28" w:type="dxa"/>
            <w:right w:w="28" w:type="dxa"/>
          </w:tcMar>
          <w:vAlign w:val="center"/>
        </w:tcPr>
        <w:p w:rsidR="00F9343D" w:rsidRPr="003E74B4" w:rsidRDefault="00F9343D" w:rsidP="003E74B4">
          <w:pPr>
            <w:jc w:val="center"/>
            <w:rPr>
              <w:b/>
              <w:color w:val="3232FF"/>
              <w:sz w:val="16"/>
              <w:szCs w:val="16"/>
              <w:lang w:val="sr-Latn-CS"/>
            </w:rPr>
          </w:pPr>
          <w:r w:rsidRPr="003E74B4">
            <w:rPr>
              <w:color w:val="3232FF"/>
              <w:sz w:val="16"/>
              <w:szCs w:val="16"/>
              <w:lang w:val="sr-Latn-CS"/>
            </w:rPr>
            <w:t>MARKA OREŠKOVIĆA 16, 24000 SUBOTICA, SERBIA</w:t>
          </w:r>
          <w:r w:rsidRPr="003E74B4">
            <w:rPr>
              <w:color w:val="3232FF"/>
              <w:sz w:val="16"/>
              <w:szCs w:val="16"/>
              <w:lang w:val="sr-Latn-CS"/>
            </w:rPr>
            <w:br/>
            <w:t>www.vts.su.ac.rs</w:t>
          </w:r>
        </w:p>
      </w:tc>
      <w:tc>
        <w:tcPr>
          <w:tcW w:w="2174" w:type="dxa"/>
          <w:vAlign w:val="center"/>
        </w:tcPr>
        <w:p w:rsidR="00F9343D" w:rsidRPr="003E74B4" w:rsidRDefault="00F9343D" w:rsidP="003E74B4">
          <w:pPr>
            <w:jc w:val="center"/>
            <w:rPr>
              <w:lang w:val="hu-HU"/>
            </w:rPr>
          </w:pPr>
        </w:p>
      </w:tc>
      <w:tc>
        <w:tcPr>
          <w:tcW w:w="2175" w:type="dxa"/>
          <w:vAlign w:val="center"/>
        </w:tcPr>
        <w:p w:rsidR="00F9343D" w:rsidRPr="003E74B4" w:rsidRDefault="00F9343D" w:rsidP="003E74B4">
          <w:pPr>
            <w:jc w:val="center"/>
            <w:rPr>
              <w:lang w:val="hu-HU"/>
            </w:rPr>
          </w:pPr>
        </w:p>
      </w:tc>
    </w:tr>
  </w:tbl>
  <w:p w:rsidR="00F9343D" w:rsidRPr="00BB18A1" w:rsidRDefault="00F9343D" w:rsidP="00DE39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1469"/>
    <w:multiLevelType w:val="hybridMultilevel"/>
    <w:tmpl w:val="472A6C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F96C55"/>
    <w:multiLevelType w:val="hybridMultilevel"/>
    <w:tmpl w:val="254E67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484AA4"/>
    <w:multiLevelType w:val="hybridMultilevel"/>
    <w:tmpl w:val="254E67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8E5A00"/>
    <w:multiLevelType w:val="hybridMultilevel"/>
    <w:tmpl w:val="1D386E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C340C2"/>
    <w:multiLevelType w:val="hybridMultilevel"/>
    <w:tmpl w:val="1D386E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B540ED"/>
    <w:multiLevelType w:val="hybridMultilevel"/>
    <w:tmpl w:val="1D386E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652746"/>
    <w:multiLevelType w:val="hybridMultilevel"/>
    <w:tmpl w:val="254E67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FB35D8"/>
    <w:multiLevelType w:val="hybridMultilevel"/>
    <w:tmpl w:val="472A6C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3037C4"/>
    <w:multiLevelType w:val="hybridMultilevel"/>
    <w:tmpl w:val="1D386E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7E654F"/>
    <w:multiLevelType w:val="hybridMultilevel"/>
    <w:tmpl w:val="05167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4A4ED0"/>
    <w:multiLevelType w:val="hybridMultilevel"/>
    <w:tmpl w:val="254E67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456D0F"/>
    <w:multiLevelType w:val="hybridMultilevel"/>
    <w:tmpl w:val="472A6C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682E67"/>
    <w:multiLevelType w:val="hybridMultilevel"/>
    <w:tmpl w:val="1D386E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951C73"/>
    <w:multiLevelType w:val="hybridMultilevel"/>
    <w:tmpl w:val="254E67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BC0692"/>
    <w:multiLevelType w:val="hybridMultilevel"/>
    <w:tmpl w:val="97F2CD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880D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A53302"/>
    <w:multiLevelType w:val="hybridMultilevel"/>
    <w:tmpl w:val="254E67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CC137F"/>
    <w:multiLevelType w:val="hybridMultilevel"/>
    <w:tmpl w:val="254E67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356F8B"/>
    <w:multiLevelType w:val="hybridMultilevel"/>
    <w:tmpl w:val="05167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BA0009"/>
    <w:multiLevelType w:val="hybridMultilevel"/>
    <w:tmpl w:val="3E9EA0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268E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F85DFB"/>
    <w:multiLevelType w:val="hybridMultilevel"/>
    <w:tmpl w:val="254E67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CD1656"/>
    <w:multiLevelType w:val="hybridMultilevel"/>
    <w:tmpl w:val="472A6C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1"/>
  </w:num>
  <w:num w:numId="4">
    <w:abstractNumId w:val="17"/>
  </w:num>
  <w:num w:numId="5">
    <w:abstractNumId w:val="19"/>
  </w:num>
  <w:num w:numId="6">
    <w:abstractNumId w:val="7"/>
  </w:num>
  <w:num w:numId="7">
    <w:abstractNumId w:val="9"/>
  </w:num>
  <w:num w:numId="8">
    <w:abstractNumId w:val="20"/>
  </w:num>
  <w:num w:numId="9">
    <w:abstractNumId w:val="2"/>
  </w:num>
  <w:num w:numId="10">
    <w:abstractNumId w:val="6"/>
  </w:num>
  <w:num w:numId="11">
    <w:abstractNumId w:val="0"/>
  </w:num>
  <w:num w:numId="12">
    <w:abstractNumId w:val="10"/>
  </w:num>
  <w:num w:numId="13">
    <w:abstractNumId w:val="15"/>
  </w:num>
  <w:num w:numId="14">
    <w:abstractNumId w:val="1"/>
  </w:num>
  <w:num w:numId="15">
    <w:abstractNumId w:val="8"/>
  </w:num>
  <w:num w:numId="16">
    <w:abstractNumId w:val="5"/>
  </w:num>
  <w:num w:numId="17">
    <w:abstractNumId w:val="13"/>
  </w:num>
  <w:num w:numId="18">
    <w:abstractNumId w:val="4"/>
  </w:num>
  <w:num w:numId="19">
    <w:abstractNumId w:val="18"/>
  </w:num>
  <w:num w:numId="20">
    <w:abstractNumId w:val="1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F3"/>
    <w:rsid w:val="00001140"/>
    <w:rsid w:val="0000274D"/>
    <w:rsid w:val="00003AE2"/>
    <w:rsid w:val="00022F2B"/>
    <w:rsid w:val="00036636"/>
    <w:rsid w:val="00074F22"/>
    <w:rsid w:val="00085CCB"/>
    <w:rsid w:val="00093AB7"/>
    <w:rsid w:val="000E5F61"/>
    <w:rsid w:val="001047D8"/>
    <w:rsid w:val="00120F90"/>
    <w:rsid w:val="00132E73"/>
    <w:rsid w:val="00142CE1"/>
    <w:rsid w:val="00165642"/>
    <w:rsid w:val="00177D3C"/>
    <w:rsid w:val="001878CF"/>
    <w:rsid w:val="001939D9"/>
    <w:rsid w:val="001B5D47"/>
    <w:rsid w:val="001F5224"/>
    <w:rsid w:val="0022027B"/>
    <w:rsid w:val="00232F4B"/>
    <w:rsid w:val="0023433E"/>
    <w:rsid w:val="002B0D4D"/>
    <w:rsid w:val="002F7232"/>
    <w:rsid w:val="00302D36"/>
    <w:rsid w:val="00305C3A"/>
    <w:rsid w:val="00311D55"/>
    <w:rsid w:val="003128B2"/>
    <w:rsid w:val="003240CD"/>
    <w:rsid w:val="0035451C"/>
    <w:rsid w:val="003948EC"/>
    <w:rsid w:val="00395934"/>
    <w:rsid w:val="00395D6E"/>
    <w:rsid w:val="003975AC"/>
    <w:rsid w:val="003A1557"/>
    <w:rsid w:val="003E20EA"/>
    <w:rsid w:val="003E74B4"/>
    <w:rsid w:val="00466331"/>
    <w:rsid w:val="00471748"/>
    <w:rsid w:val="004730D9"/>
    <w:rsid w:val="0047614F"/>
    <w:rsid w:val="004B05C2"/>
    <w:rsid w:val="004B0A56"/>
    <w:rsid w:val="004D2790"/>
    <w:rsid w:val="004E2962"/>
    <w:rsid w:val="004E506B"/>
    <w:rsid w:val="00511666"/>
    <w:rsid w:val="005202F6"/>
    <w:rsid w:val="00526294"/>
    <w:rsid w:val="005352D5"/>
    <w:rsid w:val="00540AEA"/>
    <w:rsid w:val="005420F9"/>
    <w:rsid w:val="0055655C"/>
    <w:rsid w:val="00576507"/>
    <w:rsid w:val="005A093E"/>
    <w:rsid w:val="005B4441"/>
    <w:rsid w:val="005C1F5A"/>
    <w:rsid w:val="005D0172"/>
    <w:rsid w:val="0060348C"/>
    <w:rsid w:val="00612A16"/>
    <w:rsid w:val="006213B6"/>
    <w:rsid w:val="00632D59"/>
    <w:rsid w:val="00673FDB"/>
    <w:rsid w:val="006847E1"/>
    <w:rsid w:val="006850D7"/>
    <w:rsid w:val="006B1903"/>
    <w:rsid w:val="006C4AEF"/>
    <w:rsid w:val="006D2E54"/>
    <w:rsid w:val="006E3B3B"/>
    <w:rsid w:val="00704C46"/>
    <w:rsid w:val="007130D5"/>
    <w:rsid w:val="00716241"/>
    <w:rsid w:val="00752AEC"/>
    <w:rsid w:val="00764967"/>
    <w:rsid w:val="0076761C"/>
    <w:rsid w:val="00790539"/>
    <w:rsid w:val="00796BBC"/>
    <w:rsid w:val="007A479B"/>
    <w:rsid w:val="007B00FD"/>
    <w:rsid w:val="007B16F2"/>
    <w:rsid w:val="007B2C55"/>
    <w:rsid w:val="00820984"/>
    <w:rsid w:val="00821532"/>
    <w:rsid w:val="00830B07"/>
    <w:rsid w:val="00844DB4"/>
    <w:rsid w:val="00845E84"/>
    <w:rsid w:val="008506C9"/>
    <w:rsid w:val="008530F3"/>
    <w:rsid w:val="008A2F85"/>
    <w:rsid w:val="008C1767"/>
    <w:rsid w:val="008E4DF1"/>
    <w:rsid w:val="009010F3"/>
    <w:rsid w:val="00962B30"/>
    <w:rsid w:val="00974561"/>
    <w:rsid w:val="00981421"/>
    <w:rsid w:val="009907BC"/>
    <w:rsid w:val="009907D1"/>
    <w:rsid w:val="009A23C6"/>
    <w:rsid w:val="009A7C00"/>
    <w:rsid w:val="009C4B80"/>
    <w:rsid w:val="009D1F6F"/>
    <w:rsid w:val="009E0EB8"/>
    <w:rsid w:val="009F19F3"/>
    <w:rsid w:val="009F585F"/>
    <w:rsid w:val="00A11FA8"/>
    <w:rsid w:val="00A349F6"/>
    <w:rsid w:val="00A40588"/>
    <w:rsid w:val="00A51189"/>
    <w:rsid w:val="00A72434"/>
    <w:rsid w:val="00A74602"/>
    <w:rsid w:val="00A75D25"/>
    <w:rsid w:val="00A91E1E"/>
    <w:rsid w:val="00AA50C0"/>
    <w:rsid w:val="00AA5AC2"/>
    <w:rsid w:val="00AB294B"/>
    <w:rsid w:val="00AD11EF"/>
    <w:rsid w:val="00AD3ACE"/>
    <w:rsid w:val="00AD60E0"/>
    <w:rsid w:val="00AF66BE"/>
    <w:rsid w:val="00B31E19"/>
    <w:rsid w:val="00B3521D"/>
    <w:rsid w:val="00B64B2E"/>
    <w:rsid w:val="00B700F9"/>
    <w:rsid w:val="00B86837"/>
    <w:rsid w:val="00B972F4"/>
    <w:rsid w:val="00BB18A1"/>
    <w:rsid w:val="00BB417B"/>
    <w:rsid w:val="00BD0DBB"/>
    <w:rsid w:val="00BD569C"/>
    <w:rsid w:val="00BF149E"/>
    <w:rsid w:val="00BF2089"/>
    <w:rsid w:val="00BF5D3E"/>
    <w:rsid w:val="00C01F76"/>
    <w:rsid w:val="00C27AF6"/>
    <w:rsid w:val="00C30A1B"/>
    <w:rsid w:val="00C62BEF"/>
    <w:rsid w:val="00C7395F"/>
    <w:rsid w:val="00C75C11"/>
    <w:rsid w:val="00C87FFD"/>
    <w:rsid w:val="00CA7FEC"/>
    <w:rsid w:val="00CE09D4"/>
    <w:rsid w:val="00CE4CA2"/>
    <w:rsid w:val="00CE63FF"/>
    <w:rsid w:val="00D104E2"/>
    <w:rsid w:val="00D241DB"/>
    <w:rsid w:val="00D7119D"/>
    <w:rsid w:val="00D80F3B"/>
    <w:rsid w:val="00DD5273"/>
    <w:rsid w:val="00DE390E"/>
    <w:rsid w:val="00DF376B"/>
    <w:rsid w:val="00E04488"/>
    <w:rsid w:val="00E1501C"/>
    <w:rsid w:val="00E20288"/>
    <w:rsid w:val="00E23095"/>
    <w:rsid w:val="00E3681C"/>
    <w:rsid w:val="00E41E8F"/>
    <w:rsid w:val="00E5259B"/>
    <w:rsid w:val="00E53B0E"/>
    <w:rsid w:val="00E73A1C"/>
    <w:rsid w:val="00E778EA"/>
    <w:rsid w:val="00EA15B6"/>
    <w:rsid w:val="00EA4BCA"/>
    <w:rsid w:val="00EB28DD"/>
    <w:rsid w:val="00EB71B8"/>
    <w:rsid w:val="00EE0328"/>
    <w:rsid w:val="00EE342F"/>
    <w:rsid w:val="00EE630A"/>
    <w:rsid w:val="00F00A29"/>
    <w:rsid w:val="00F42F9F"/>
    <w:rsid w:val="00F45E1D"/>
    <w:rsid w:val="00F50338"/>
    <w:rsid w:val="00F75D78"/>
    <w:rsid w:val="00F75DF6"/>
    <w:rsid w:val="00F9343D"/>
    <w:rsid w:val="00F94456"/>
    <w:rsid w:val="00F97E66"/>
    <w:rsid w:val="00FA2A5A"/>
    <w:rsid w:val="00FB5A15"/>
    <w:rsid w:val="00FE0881"/>
    <w:rsid w:val="00FE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A671D09-5CBF-4589-B752-519EAFE21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0F3"/>
    <w:pPr>
      <w:spacing w:before="120" w:after="120" w:line="276" w:lineRule="auto"/>
    </w:pPr>
    <w:rPr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417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417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417B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417B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417B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417B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417B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417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417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2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D2E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D2E5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2028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E390E"/>
  </w:style>
  <w:style w:type="paragraph" w:customStyle="1" w:styleId="StyleHeading1Centered">
    <w:name w:val="Style Heading 1 + Centered"/>
    <w:basedOn w:val="Heading1"/>
    <w:rsid w:val="00EA15B6"/>
    <w:pPr>
      <w:jc w:val="center"/>
    </w:pPr>
    <w:rPr>
      <w:sz w:val="28"/>
      <w:szCs w:val="20"/>
    </w:rPr>
  </w:style>
  <w:style w:type="paragraph" w:customStyle="1" w:styleId="StyleStyleHeading1CenteredLeftLeft0mmHanging23">
    <w:name w:val="Style Style Heading 1 + Centered + Left Left:  0 mm Hanging:  23 ..."/>
    <w:basedOn w:val="StyleHeading1Centered"/>
    <w:next w:val="Normal"/>
    <w:rsid w:val="002F7232"/>
    <w:pPr>
      <w:spacing w:before="480" w:after="480"/>
      <w:ind w:left="1304" w:hanging="1304"/>
      <w:jc w:val="left"/>
    </w:pPr>
  </w:style>
  <w:style w:type="character" w:styleId="CommentReference">
    <w:name w:val="annotation reference"/>
    <w:basedOn w:val="DefaultParagraphFont"/>
    <w:semiHidden/>
    <w:rsid w:val="005D0172"/>
    <w:rPr>
      <w:sz w:val="16"/>
      <w:szCs w:val="16"/>
    </w:rPr>
  </w:style>
  <w:style w:type="paragraph" w:styleId="CommentText">
    <w:name w:val="annotation text"/>
    <w:basedOn w:val="Normal"/>
    <w:semiHidden/>
    <w:rsid w:val="005D0172"/>
  </w:style>
  <w:style w:type="paragraph" w:styleId="CommentSubject">
    <w:name w:val="annotation subject"/>
    <w:basedOn w:val="CommentText"/>
    <w:next w:val="CommentText"/>
    <w:semiHidden/>
    <w:rsid w:val="005D0172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3E74B4"/>
    <w:rPr>
      <w:sz w:val="2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B417B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basedOn w:val="DefaultParagraphFont"/>
    <w:link w:val="Heading2"/>
    <w:uiPriority w:val="9"/>
    <w:rsid w:val="00BB417B"/>
    <w:rPr>
      <w:caps/>
      <w:spacing w:val="15"/>
      <w:shd w:val="clear" w:color="auto" w:fill="DBE5F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417B"/>
    <w:rPr>
      <w:caps/>
      <w:color w:val="243F60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417B"/>
    <w:rPr>
      <w:caps/>
      <w:color w:val="365F91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417B"/>
    <w:rPr>
      <w:caps/>
      <w:color w:val="365F91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417B"/>
    <w:rPr>
      <w:caps/>
      <w:color w:val="365F91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417B"/>
    <w:rPr>
      <w:caps/>
      <w:color w:val="365F91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417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417B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417B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B417B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417B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417B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417B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BB417B"/>
    <w:rPr>
      <w:b/>
      <w:bCs/>
    </w:rPr>
  </w:style>
  <w:style w:type="character" w:styleId="Emphasis">
    <w:name w:val="Emphasis"/>
    <w:uiPriority w:val="20"/>
    <w:qFormat/>
    <w:rsid w:val="00BB417B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BB417B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B417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B417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B417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B417B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417B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417B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BB417B"/>
    <w:rPr>
      <w:i/>
      <w:iCs/>
      <w:color w:val="243F60"/>
    </w:rPr>
  </w:style>
  <w:style w:type="character" w:styleId="IntenseEmphasis">
    <w:name w:val="Intense Emphasis"/>
    <w:uiPriority w:val="21"/>
    <w:qFormat/>
    <w:rsid w:val="00BB417B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BB417B"/>
    <w:rPr>
      <w:b/>
      <w:bCs/>
      <w:color w:val="4F81BD"/>
    </w:rPr>
  </w:style>
  <w:style w:type="character" w:styleId="IntenseReference">
    <w:name w:val="Intense Reference"/>
    <w:uiPriority w:val="32"/>
    <w:qFormat/>
    <w:rsid w:val="00BB417B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BB417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17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gor\Application%20Data\Microsoft\Templates\vts%20srpsk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E03A4-A8D6-4058-9416-84D157D7E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vts srpski</Template>
  <TotalTime>3</TotalTime>
  <Pages>8</Pages>
  <Words>2322</Words>
  <Characters>13242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VISOKA TEHNIČKA ŠKOLA</vt:lpstr>
    </vt:vector>
  </TitlesOfParts>
  <Company>VTS</Company>
  <LinksUpToDate>false</LinksUpToDate>
  <CharactersWithSpaces>15533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VISOKA TEHNIČKA ŠKOLA</dc:title>
  <dc:creator>Igor Furstner</dc:creator>
  <cp:lastModifiedBy>Igor Fuerstner</cp:lastModifiedBy>
  <cp:revision>4</cp:revision>
  <cp:lastPrinted>2011-09-16T13:22:00Z</cp:lastPrinted>
  <dcterms:created xsi:type="dcterms:W3CDTF">2015-09-07T13:25:00Z</dcterms:created>
  <dcterms:modified xsi:type="dcterms:W3CDTF">2016-09-16T10:03:00Z</dcterms:modified>
</cp:coreProperties>
</file>